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215662">
        <w:rPr>
          <w:sz w:val="28"/>
          <w:szCs w:val="28"/>
        </w:rPr>
        <w:t>Прикубанского</w:t>
      </w:r>
      <w:r w:rsidRPr="00DA70F9">
        <w:rPr>
          <w:sz w:val="28"/>
          <w:szCs w:val="28"/>
        </w:rPr>
        <w:t xml:space="preserve"> сельского поселения Славя</w:t>
      </w:r>
      <w:r w:rsidRPr="00DA70F9">
        <w:rPr>
          <w:sz w:val="28"/>
          <w:szCs w:val="28"/>
        </w:rPr>
        <w:t>н</w:t>
      </w:r>
      <w:r w:rsidRPr="00DA70F9">
        <w:rPr>
          <w:sz w:val="28"/>
          <w:szCs w:val="28"/>
        </w:rPr>
        <w:t>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215662">
        <w:rPr>
          <w:sz w:val="28"/>
          <w:szCs w:val="28"/>
        </w:rPr>
        <w:t>Прикуба</w:t>
      </w:r>
      <w:r w:rsidR="00215662">
        <w:rPr>
          <w:sz w:val="28"/>
          <w:szCs w:val="28"/>
        </w:rPr>
        <w:t>н</w:t>
      </w:r>
      <w:r w:rsidR="00215662">
        <w:rPr>
          <w:sz w:val="28"/>
          <w:szCs w:val="28"/>
        </w:rPr>
        <w:t>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215662">
        <w:rPr>
          <w:sz w:val="28"/>
          <w:szCs w:val="28"/>
        </w:rPr>
        <w:t>07 декабря 2018</w:t>
      </w:r>
      <w:r w:rsidRPr="00DA70F9">
        <w:rPr>
          <w:sz w:val="28"/>
          <w:szCs w:val="28"/>
        </w:rPr>
        <w:t xml:space="preserve"> года № </w:t>
      </w:r>
      <w:r w:rsidR="00215662">
        <w:rPr>
          <w:sz w:val="28"/>
          <w:szCs w:val="28"/>
        </w:rPr>
        <w:t>192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</w:t>
      </w:r>
      <w:r w:rsidR="00215662" w:rsidRPr="00215662">
        <w:rPr>
          <w:sz w:val="28"/>
          <w:szCs w:val="28"/>
        </w:rPr>
        <w:t>Заключение договора на размещение объектов на землях или з</w:t>
      </w:r>
      <w:r w:rsidR="00215662" w:rsidRPr="00215662">
        <w:rPr>
          <w:sz w:val="28"/>
          <w:szCs w:val="28"/>
        </w:rPr>
        <w:t>е</w:t>
      </w:r>
      <w:r w:rsidR="00215662" w:rsidRPr="00215662">
        <w:rPr>
          <w:sz w:val="28"/>
          <w:szCs w:val="28"/>
        </w:rPr>
        <w:t>мельных участках, находящихся в государственной или муниципальной со</w:t>
      </w:r>
      <w:r w:rsidR="00215662" w:rsidRPr="00215662">
        <w:rPr>
          <w:sz w:val="28"/>
          <w:szCs w:val="28"/>
        </w:rPr>
        <w:t>б</w:t>
      </w:r>
      <w:r w:rsidR="00215662" w:rsidRPr="00215662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="00215662" w:rsidRPr="00215662">
        <w:rPr>
          <w:sz w:val="28"/>
          <w:szCs w:val="28"/>
        </w:rPr>
        <w:t>у</w:t>
      </w:r>
      <w:r w:rsidR="00215662" w:rsidRPr="00215662">
        <w:rPr>
          <w:sz w:val="28"/>
          <w:szCs w:val="28"/>
        </w:rPr>
        <w:t>тов</w:t>
      </w:r>
      <w:r w:rsidR="00215662">
        <w:rPr>
          <w:sz w:val="28"/>
          <w:szCs w:val="28"/>
        </w:rPr>
        <w:t>»;</w:t>
      </w:r>
    </w:p>
    <w:p w:rsidR="00215662" w:rsidRPr="00DA70F9" w:rsidRDefault="00215662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15662">
        <w:rPr>
          <w:sz w:val="28"/>
          <w:szCs w:val="28"/>
        </w:rPr>
        <w:t>остановление администрации Прикубанского сельского поселения Сл</w:t>
      </w:r>
      <w:r w:rsidRPr="00215662">
        <w:rPr>
          <w:sz w:val="28"/>
          <w:szCs w:val="28"/>
        </w:rPr>
        <w:t>а</w:t>
      </w:r>
      <w:r w:rsidRPr="00215662">
        <w:rPr>
          <w:sz w:val="28"/>
          <w:szCs w:val="28"/>
        </w:rPr>
        <w:t>вянского района от 10 апреля 2019 года № 91 «О внесении изменений в пост</w:t>
      </w:r>
      <w:r w:rsidRPr="00215662">
        <w:rPr>
          <w:sz w:val="28"/>
          <w:szCs w:val="28"/>
        </w:rPr>
        <w:t>а</w:t>
      </w:r>
      <w:r w:rsidRPr="00215662">
        <w:rPr>
          <w:sz w:val="28"/>
          <w:szCs w:val="28"/>
        </w:rPr>
        <w:t>новление администрации Прикубанского сельского поселения Славянского района от 07 декабря 2018 года № 192 «Об утверждении административного р</w:t>
      </w:r>
      <w:r w:rsidRPr="00215662">
        <w:rPr>
          <w:sz w:val="28"/>
          <w:szCs w:val="28"/>
        </w:rPr>
        <w:t>е</w:t>
      </w:r>
      <w:r w:rsidRPr="00215662">
        <w:rPr>
          <w:sz w:val="28"/>
          <w:szCs w:val="28"/>
        </w:rPr>
        <w:t xml:space="preserve">гламента предоставления муниципальной услуги «Заключение договора на </w:t>
      </w:r>
      <w:r w:rsidRPr="00215662">
        <w:rPr>
          <w:sz w:val="28"/>
          <w:szCs w:val="28"/>
        </w:rPr>
        <w:lastRenderedPageBreak/>
        <w:t>размещение объектов на землях или земельных участках, находящихся в гос</w:t>
      </w:r>
      <w:r w:rsidRPr="00215662">
        <w:rPr>
          <w:sz w:val="28"/>
          <w:szCs w:val="28"/>
        </w:rPr>
        <w:t>у</w:t>
      </w:r>
      <w:r w:rsidRPr="00215662">
        <w:rPr>
          <w:sz w:val="28"/>
          <w:szCs w:val="28"/>
        </w:rPr>
        <w:t>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215662">
        <w:rPr>
          <w:sz w:val="28"/>
          <w:szCs w:val="28"/>
        </w:rPr>
        <w:t>Мевша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15662">
        <w:rPr>
          <w:sz w:val="28"/>
          <w:szCs w:val="28"/>
        </w:rPr>
        <w:t>Прикуба</w:t>
      </w:r>
      <w:r w:rsidR="00215662">
        <w:rPr>
          <w:sz w:val="28"/>
          <w:szCs w:val="28"/>
        </w:rPr>
        <w:t>н</w:t>
      </w:r>
      <w:r w:rsidR="00215662">
        <w:rPr>
          <w:sz w:val="28"/>
          <w:szCs w:val="28"/>
        </w:rPr>
        <w:t>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215662">
        <w:rPr>
          <w:sz w:val="28"/>
          <w:szCs w:val="28"/>
        </w:rPr>
        <w:t>Прикубанского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215662">
        <w:rPr>
          <w:sz w:val="28"/>
          <w:szCs w:val="28"/>
        </w:rPr>
        <w:t>А.С. Мевшу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215662">
        <w:rPr>
          <w:sz w:val="28"/>
          <w:szCs w:val="28"/>
        </w:rPr>
        <w:t>Прикубанского</w:t>
      </w:r>
      <w:r w:rsidRPr="00DA70F9">
        <w:rPr>
          <w:sz w:val="28"/>
          <w:szCs w:val="28"/>
        </w:rPr>
        <w:t xml:space="preserve"> </w:t>
      </w:r>
      <w:proofErr w:type="gramStart"/>
      <w:r w:rsidRPr="00DA70F9">
        <w:rPr>
          <w:sz w:val="28"/>
          <w:szCs w:val="28"/>
        </w:rPr>
        <w:t>сельского</w:t>
      </w:r>
      <w:proofErr w:type="gramEnd"/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</w:r>
      <w:r w:rsidR="00215662">
        <w:rPr>
          <w:sz w:val="28"/>
          <w:szCs w:val="28"/>
        </w:rPr>
        <w:tab/>
        <w:t xml:space="preserve"> А.И. Бельд</w:t>
      </w:r>
      <w:r w:rsidR="00215662">
        <w:rPr>
          <w:sz w:val="28"/>
          <w:szCs w:val="28"/>
        </w:rPr>
        <w:t>и</w:t>
      </w:r>
      <w:r w:rsidR="00215662">
        <w:rPr>
          <w:sz w:val="28"/>
          <w:szCs w:val="28"/>
        </w:rPr>
        <w:t>ев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215662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/2340200010003143758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=160152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/a-2324.html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/2340200010003143758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=160152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15662" w:rsidRPr="00215662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21566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215662">
        <w:rPr>
          <w:color w:val="000000" w:themeColor="text1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215662">
        <w:rPr>
          <w:color w:val="000000" w:themeColor="text1"/>
          <w:sz w:val="28"/>
          <w:szCs w:val="28"/>
          <w:lang w:eastAsia="ar-SA"/>
        </w:rPr>
        <w:tab/>
      </w:r>
      <w:r w:rsidR="00215662">
        <w:rPr>
          <w:color w:val="000000" w:themeColor="text1"/>
          <w:sz w:val="28"/>
          <w:szCs w:val="28"/>
          <w:lang w:eastAsia="ar-SA"/>
        </w:rPr>
        <w:tab/>
      </w:r>
      <w:r w:rsidR="00215662">
        <w:rPr>
          <w:color w:val="000000" w:themeColor="text1"/>
          <w:sz w:val="28"/>
          <w:szCs w:val="28"/>
          <w:lang w:eastAsia="ar-SA"/>
        </w:rPr>
        <w:tab/>
      </w:r>
      <w:r w:rsidR="00215662">
        <w:rPr>
          <w:color w:val="000000" w:themeColor="text1"/>
          <w:sz w:val="28"/>
          <w:szCs w:val="28"/>
          <w:lang w:eastAsia="ar-SA"/>
        </w:rPr>
        <w:tab/>
      </w:r>
      <w:r w:rsidR="00215662">
        <w:rPr>
          <w:color w:val="000000" w:themeColor="text1"/>
          <w:sz w:val="28"/>
          <w:szCs w:val="28"/>
          <w:lang w:eastAsia="ar-SA"/>
        </w:rPr>
        <w:tab/>
      </w:r>
      <w:r w:rsidR="00215662">
        <w:rPr>
          <w:color w:val="000000" w:themeColor="text1"/>
          <w:sz w:val="28"/>
          <w:szCs w:val="28"/>
          <w:lang w:eastAsia="ar-SA"/>
        </w:rPr>
        <w:tab/>
        <w:t xml:space="preserve"> А.И. Бельд</w:t>
      </w:r>
      <w:r w:rsidR="00215662">
        <w:rPr>
          <w:color w:val="000000" w:themeColor="text1"/>
          <w:sz w:val="28"/>
          <w:szCs w:val="28"/>
          <w:lang w:eastAsia="ar-SA"/>
        </w:rPr>
        <w:t>и</w:t>
      </w:r>
      <w:r w:rsidR="00215662">
        <w:rPr>
          <w:color w:val="000000" w:themeColor="text1"/>
          <w:sz w:val="28"/>
          <w:szCs w:val="28"/>
          <w:lang w:eastAsia="ar-SA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215662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215662">
        <w:rPr>
          <w:color w:val="000000" w:themeColor="text1"/>
          <w:sz w:val="28"/>
          <w:szCs w:val="28"/>
        </w:rPr>
        <w:tab/>
      </w:r>
      <w:r w:rsidR="00215662">
        <w:rPr>
          <w:color w:val="000000" w:themeColor="text1"/>
          <w:sz w:val="28"/>
          <w:szCs w:val="28"/>
        </w:rPr>
        <w:tab/>
      </w:r>
      <w:r w:rsidR="00215662">
        <w:rPr>
          <w:color w:val="000000" w:themeColor="text1"/>
          <w:sz w:val="28"/>
          <w:szCs w:val="28"/>
        </w:rPr>
        <w:tab/>
      </w:r>
      <w:r w:rsidR="00215662">
        <w:rPr>
          <w:color w:val="000000" w:themeColor="text1"/>
          <w:sz w:val="28"/>
          <w:szCs w:val="28"/>
        </w:rPr>
        <w:tab/>
      </w:r>
      <w:r w:rsidR="00215662">
        <w:rPr>
          <w:color w:val="000000" w:themeColor="text1"/>
          <w:sz w:val="28"/>
          <w:szCs w:val="28"/>
        </w:rPr>
        <w:tab/>
      </w:r>
      <w:r w:rsidR="00215662">
        <w:rPr>
          <w:color w:val="000000" w:themeColor="text1"/>
          <w:sz w:val="28"/>
          <w:szCs w:val="28"/>
        </w:rPr>
        <w:tab/>
        <w:t xml:space="preserve"> А.И. Бельд</w:t>
      </w:r>
      <w:r w:rsidR="00215662">
        <w:rPr>
          <w:color w:val="000000" w:themeColor="text1"/>
          <w:sz w:val="28"/>
          <w:szCs w:val="28"/>
        </w:rPr>
        <w:t>и</w:t>
      </w:r>
      <w:r w:rsidR="00215662"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А.И. Бельдиеву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E596A" w:rsidRPr="00DA70F9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2"/>
        <w:gridCol w:w="139"/>
        <w:gridCol w:w="131"/>
        <w:gridCol w:w="123"/>
        <w:gridCol w:w="153"/>
        <w:gridCol w:w="139"/>
        <w:gridCol w:w="142"/>
        <w:gridCol w:w="556"/>
        <w:gridCol w:w="116"/>
        <w:gridCol w:w="132"/>
        <w:gridCol w:w="9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215662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215662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1"/>
        <w:gridCol w:w="48"/>
        <w:gridCol w:w="157"/>
        <w:gridCol w:w="40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4"/>
        <w:gridCol w:w="496"/>
        <w:gridCol w:w="174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А.И. Бельдиеву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А.И. Бельдиеву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А.И. Бельдиеву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215662"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2156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Прикубанского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2156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15662" w:rsidRPr="00DA70F9" w:rsidSect="00A179C2">
          <w:headerReference w:type="default" r:id="rId2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215662">
        <w:rPr>
          <w:sz w:val="28"/>
          <w:szCs w:val="28"/>
        </w:rPr>
        <w:t>Прикубанского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215662">
        <w:rPr>
          <w:sz w:val="28"/>
          <w:szCs w:val="28"/>
        </w:rPr>
        <w:t>Прикубанского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215662">
        <w:rPr>
          <w:sz w:val="28"/>
          <w:szCs w:val="28"/>
        </w:rPr>
        <w:t>Прикубанского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215662">
              <w:rPr>
                <w:sz w:val="28"/>
                <w:szCs w:val="28"/>
              </w:rPr>
              <w:t>Прикубанского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215662" w:rsidRPr="00DA70F9" w:rsidRDefault="00215662" w:rsidP="002156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480475" w:rsidRDefault="00215662" w:rsidP="002156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А.И. Бельд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ев</w:t>
      </w:r>
      <w:bookmarkStart w:id="8" w:name="_GoBack"/>
      <w:bookmarkEnd w:id="8"/>
    </w:p>
    <w:sectPr w:rsidR="00632E7C" w:rsidRPr="00480475" w:rsidSect="00215662">
      <w:headerReference w:type="default" r:id="rId29"/>
      <w:headerReference w:type="first" r:id="rId30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74" w:rsidRDefault="00E12274">
      <w:r>
        <w:separator/>
      </w:r>
    </w:p>
  </w:endnote>
  <w:endnote w:type="continuationSeparator" w:id="0">
    <w:p w:rsidR="00E12274" w:rsidRDefault="00E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74" w:rsidRDefault="00E12274">
      <w:r>
        <w:separator/>
      </w:r>
    </w:p>
  </w:footnote>
  <w:footnote w:type="continuationSeparator" w:id="0">
    <w:p w:rsidR="00E12274" w:rsidRDefault="00E1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62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82673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084961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12486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95557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18570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40727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38026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0103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140578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673616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62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777447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D71E975" wp14:editId="56160312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1566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1566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580B404" wp14:editId="5586B53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774601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62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37709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646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7735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335848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3294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816249"/>
      <w:docPartObj>
        <w:docPartGallery w:val="Page Numbers (Top of Page)"/>
        <w:docPartUnique/>
      </w:docPartObj>
    </w:sdtPr>
    <w:sdtContent>
      <w:p w:rsidR="00215662" w:rsidRDefault="00215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662" w:rsidRDefault="002156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662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2274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D06F-7025-4321-AD0B-E3760811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112</Pages>
  <Words>33215</Words>
  <Characters>189327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222098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2021-02-18T14:06:00Z</dcterms:modified>
</cp:coreProperties>
</file>