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481D7D">
        <w:rPr>
          <w:color w:val="000000" w:themeColor="text1"/>
          <w:sz w:val="28"/>
          <w:szCs w:val="28"/>
        </w:rPr>
        <w:t>Петровского</w:t>
      </w:r>
      <w:r w:rsidR="000731DA" w:rsidRPr="00336BC7">
        <w:rPr>
          <w:color w:val="000000" w:themeColor="text1"/>
          <w:sz w:val="28"/>
          <w:szCs w:val="28"/>
        </w:rPr>
        <w:t xml:space="preserve"> сельского пос</w:t>
      </w:r>
      <w:r w:rsidR="000731DA" w:rsidRPr="00336BC7">
        <w:rPr>
          <w:color w:val="000000" w:themeColor="text1"/>
          <w:sz w:val="28"/>
          <w:szCs w:val="28"/>
        </w:rPr>
        <w:t>е</w:t>
      </w:r>
      <w:r w:rsidR="000731DA" w:rsidRPr="00336BC7">
        <w:rPr>
          <w:color w:val="000000" w:themeColor="text1"/>
          <w:sz w:val="28"/>
          <w:szCs w:val="28"/>
        </w:rPr>
        <w:t xml:space="preserve">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481D7D">
        <w:rPr>
          <w:color w:val="000000" w:themeColor="text1"/>
          <w:sz w:val="28"/>
          <w:szCs w:val="28"/>
        </w:rPr>
        <w:t>Петровского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481D7D">
        <w:rPr>
          <w:rFonts w:eastAsia="Calibri"/>
          <w:sz w:val="28"/>
          <w:szCs w:val="28"/>
        </w:rPr>
        <w:t>Казакова Ж.В.</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481D7D">
        <w:rPr>
          <w:color w:val="000000" w:themeColor="text1"/>
          <w:sz w:val="28"/>
          <w:szCs w:val="28"/>
        </w:rPr>
        <w:t>Петровского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481D7D"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481D7D">
        <w:rPr>
          <w:color w:val="000000" w:themeColor="text1"/>
          <w:sz w:val="28"/>
          <w:szCs w:val="28"/>
        </w:rPr>
        <w:t>Петровского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481D7D">
        <w:rPr>
          <w:bCs/>
          <w:color w:val="000000" w:themeColor="text1"/>
          <w:kern w:val="32"/>
          <w:sz w:val="28"/>
          <w:szCs w:val="28"/>
          <w:lang w:eastAsia="ko-KR"/>
        </w:rPr>
        <w:t>В.И. Михайленко</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481D7D" w:rsidP="004B168F">
      <w:pPr>
        <w:ind w:left="5245"/>
        <w:rPr>
          <w:sz w:val="28"/>
          <w:szCs w:val="28"/>
        </w:rPr>
      </w:pPr>
      <w:r>
        <w:rPr>
          <w:color w:val="000000" w:themeColor="text1"/>
          <w:sz w:val="28"/>
          <w:szCs w:val="28"/>
        </w:rPr>
        <w:t>Петровского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481D7D" w:rsidRPr="00481D7D">
        <w:rPr>
          <w:rFonts w:ascii="Times New Roman" w:hAnsi="Times New Roman" w:cs="Times New Roman"/>
          <w:color w:val="000000" w:themeColor="text1"/>
          <w:sz w:val="28"/>
          <w:szCs w:val="28"/>
        </w:rPr>
        <w:t>Петровского</w:t>
      </w:r>
      <w:r w:rsidR="008A01B5" w:rsidRPr="00336BC7">
        <w:rPr>
          <w:rFonts w:ascii="Times New Roman" w:hAnsi="Times New Roman" w:cs="Times New Roman"/>
          <w:bCs/>
          <w:sz w:val="28"/>
          <w:szCs w:val="28"/>
        </w:rPr>
        <w:t xml:space="preserve"> сельского поселения Славянского ра</w:t>
      </w:r>
      <w:r w:rsidR="008A01B5" w:rsidRPr="00336BC7">
        <w:rPr>
          <w:rFonts w:ascii="Times New Roman" w:hAnsi="Times New Roman" w:cs="Times New Roman"/>
          <w:bCs/>
          <w:sz w:val="28"/>
          <w:szCs w:val="28"/>
        </w:rPr>
        <w:t>й</w:t>
      </w:r>
      <w:r w:rsidR="008A01B5" w:rsidRPr="00336BC7">
        <w:rPr>
          <w:rFonts w:ascii="Times New Roman" w:hAnsi="Times New Roman" w:cs="Times New Roman"/>
          <w:bCs/>
          <w:sz w:val="28"/>
          <w:szCs w:val="28"/>
        </w:rPr>
        <w:t>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481D7D" w:rsidRPr="00481D7D">
        <w:rPr>
          <w:rFonts w:ascii="Times New Roman" w:hAnsi="Times New Roman" w:cs="Times New Roman"/>
          <w:color w:val="000000" w:themeColor="text1"/>
          <w:sz w:val="28"/>
          <w:szCs w:val="28"/>
        </w:rPr>
        <w:t>Петровского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481D7D" w:rsidRPr="00481D7D">
        <w:rPr>
          <w:rFonts w:ascii="Times New Roman" w:hAnsi="Times New Roman" w:cs="Times New Roman"/>
          <w:color w:val="000000" w:themeColor="text1"/>
          <w:sz w:val="28"/>
          <w:szCs w:val="28"/>
        </w:rPr>
        <w:t>Петро</w:t>
      </w:r>
      <w:r w:rsidR="00481D7D" w:rsidRPr="00481D7D">
        <w:rPr>
          <w:rFonts w:ascii="Times New Roman" w:hAnsi="Times New Roman" w:cs="Times New Roman"/>
          <w:color w:val="000000" w:themeColor="text1"/>
          <w:sz w:val="28"/>
          <w:szCs w:val="28"/>
        </w:rPr>
        <w:t>в</w:t>
      </w:r>
      <w:r w:rsidR="00481D7D" w:rsidRPr="00481D7D">
        <w:rPr>
          <w:rFonts w:ascii="Times New Roman" w:hAnsi="Times New Roman" w:cs="Times New Roman"/>
          <w:color w:val="000000" w:themeColor="text1"/>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481D7D" w:rsidRPr="00481D7D">
        <w:rPr>
          <w:rFonts w:ascii="Times New Roman" w:hAnsi="Times New Roman" w:cs="Times New Roman"/>
          <w:bCs/>
          <w:sz w:val="28"/>
          <w:szCs w:val="28"/>
        </w:rPr>
        <w:t>st-petrovskaja.ru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481D7D" w:rsidRPr="00481D7D">
        <w:rPr>
          <w:rFonts w:ascii="Times New Roman" w:hAnsi="Times New Roman" w:cs="Times New Roman"/>
          <w:color w:val="000000" w:themeColor="text1"/>
          <w:sz w:val="28"/>
          <w:szCs w:val="28"/>
        </w:rPr>
        <w:t>Петровского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481D7D" w:rsidRPr="00481D7D">
        <w:rPr>
          <w:rFonts w:ascii="Times New Roman" w:hAnsi="Times New Roman" w:cs="Times New Roman"/>
          <w:bCs/>
          <w:sz w:val="28"/>
          <w:szCs w:val="28"/>
        </w:rPr>
        <w:t>gosuslugi.ru/</w:t>
      </w:r>
      <w:proofErr w:type="spellStart"/>
      <w:r w:rsidR="00481D7D" w:rsidRPr="00481D7D">
        <w:rPr>
          <w:rFonts w:ascii="Times New Roman" w:hAnsi="Times New Roman" w:cs="Times New Roman"/>
          <w:bCs/>
          <w:sz w:val="28"/>
          <w:szCs w:val="28"/>
        </w:rPr>
        <w:t>structure</w:t>
      </w:r>
      <w:proofErr w:type="spellEnd"/>
      <w:r w:rsidR="00481D7D" w:rsidRPr="00481D7D">
        <w:rPr>
          <w:rFonts w:ascii="Times New Roman" w:hAnsi="Times New Roman" w:cs="Times New Roman"/>
          <w:bCs/>
          <w:sz w:val="28"/>
          <w:szCs w:val="28"/>
        </w:rPr>
        <w:t>/2340200010003146380</w:t>
      </w:r>
      <w:r w:rsidR="0081524D" w:rsidRPr="00336BC7">
        <w:rPr>
          <w:rFonts w:ascii="Times New Roman" w:hAnsi="Times New Roman" w:cs="Times New Roman"/>
          <w:bCs/>
          <w:sz w:val="28"/>
          <w:szCs w:val="28"/>
        </w:rPr>
        <w:t>), РПГУ (</w:t>
      </w:r>
      <w:r w:rsidR="00481D7D" w:rsidRPr="00481D7D">
        <w:rPr>
          <w:rFonts w:ascii="Times New Roman" w:hAnsi="Times New Roman" w:cs="Times New Roman"/>
          <w:bCs/>
          <w:sz w:val="28"/>
          <w:szCs w:val="28"/>
        </w:rPr>
        <w:t>pgu.krasnodar.ru/</w:t>
      </w:r>
      <w:proofErr w:type="spellStart"/>
      <w:r w:rsidR="00481D7D" w:rsidRPr="00481D7D">
        <w:rPr>
          <w:rFonts w:ascii="Times New Roman" w:hAnsi="Times New Roman" w:cs="Times New Roman"/>
          <w:bCs/>
          <w:sz w:val="28"/>
          <w:szCs w:val="28"/>
        </w:rPr>
        <w:t>structure</w:t>
      </w:r>
      <w:proofErr w:type="spellEnd"/>
      <w:r w:rsidR="00481D7D" w:rsidRPr="00481D7D">
        <w:rPr>
          <w:rFonts w:ascii="Times New Roman" w:hAnsi="Times New Roman" w:cs="Times New Roman"/>
          <w:bCs/>
          <w:sz w:val="28"/>
          <w:szCs w:val="28"/>
        </w:rPr>
        <w:t>/</w:t>
      </w:r>
      <w:proofErr w:type="spellStart"/>
      <w:r w:rsidR="00481D7D" w:rsidRPr="00481D7D">
        <w:rPr>
          <w:rFonts w:ascii="Times New Roman" w:hAnsi="Times New Roman" w:cs="Times New Roman"/>
          <w:bCs/>
          <w:sz w:val="28"/>
          <w:szCs w:val="28"/>
        </w:rPr>
        <w:t>detail.php?orgID</w:t>
      </w:r>
      <w:proofErr w:type="spellEnd"/>
      <w:r w:rsidR="00481D7D" w:rsidRPr="00481D7D">
        <w:rPr>
          <w:rFonts w:ascii="Times New Roman" w:hAnsi="Times New Roman" w:cs="Times New Roman"/>
          <w:bCs/>
          <w:sz w:val="28"/>
          <w:szCs w:val="28"/>
        </w:rPr>
        <w:t>=161700</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C203F7" w:rsidRPr="00C203F7">
        <w:rPr>
          <w:rFonts w:ascii="Times New Roman" w:hAnsi="Times New Roman" w:cs="Times New Roman"/>
          <w:bCs/>
          <w:sz w:val="28"/>
          <w:szCs w:val="28"/>
        </w:rPr>
        <w:t>slavyansk.ru/article/a-4763.html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481D7D" w:rsidRPr="00481D7D">
        <w:rPr>
          <w:rFonts w:ascii="Times New Roman" w:hAnsi="Times New Roman" w:cs="Times New Roman"/>
          <w:bCs/>
          <w:sz w:val="28"/>
          <w:szCs w:val="28"/>
        </w:rPr>
        <w:t>gosuslugi.ru/</w:t>
      </w:r>
      <w:proofErr w:type="spellStart"/>
      <w:r w:rsidR="00481D7D" w:rsidRPr="00481D7D">
        <w:rPr>
          <w:rFonts w:ascii="Times New Roman" w:hAnsi="Times New Roman" w:cs="Times New Roman"/>
          <w:bCs/>
          <w:sz w:val="28"/>
          <w:szCs w:val="28"/>
        </w:rPr>
        <w:t>structure</w:t>
      </w:r>
      <w:proofErr w:type="spellEnd"/>
      <w:r w:rsidR="00481D7D" w:rsidRPr="00481D7D">
        <w:rPr>
          <w:rFonts w:ascii="Times New Roman" w:hAnsi="Times New Roman" w:cs="Times New Roman"/>
          <w:bCs/>
          <w:sz w:val="28"/>
          <w:szCs w:val="28"/>
        </w:rPr>
        <w:t>/2340200010003146380</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481D7D" w:rsidRPr="00481D7D">
        <w:rPr>
          <w:rFonts w:ascii="Times New Roman" w:hAnsi="Times New Roman" w:cs="Times New Roman"/>
          <w:bCs/>
          <w:sz w:val="28"/>
          <w:szCs w:val="28"/>
        </w:rPr>
        <w:t>pgu.krasnodar.ru/</w:t>
      </w:r>
      <w:proofErr w:type="spellStart"/>
      <w:r w:rsidR="00481D7D" w:rsidRPr="00481D7D">
        <w:rPr>
          <w:rFonts w:ascii="Times New Roman" w:hAnsi="Times New Roman" w:cs="Times New Roman"/>
          <w:bCs/>
          <w:sz w:val="28"/>
          <w:szCs w:val="28"/>
        </w:rPr>
        <w:t>structure</w:t>
      </w:r>
      <w:proofErr w:type="spellEnd"/>
      <w:r w:rsidR="00481D7D" w:rsidRPr="00481D7D">
        <w:rPr>
          <w:rFonts w:ascii="Times New Roman" w:hAnsi="Times New Roman" w:cs="Times New Roman"/>
          <w:bCs/>
          <w:sz w:val="28"/>
          <w:szCs w:val="28"/>
        </w:rPr>
        <w:t>/</w:t>
      </w:r>
      <w:r w:rsidR="00481D7D">
        <w:rPr>
          <w:rFonts w:ascii="Times New Roman" w:hAnsi="Times New Roman" w:cs="Times New Roman"/>
          <w:bCs/>
          <w:sz w:val="28"/>
          <w:szCs w:val="28"/>
        </w:rPr>
        <w:t xml:space="preserve"> </w:t>
      </w:r>
      <w:proofErr w:type="spellStart"/>
      <w:r w:rsidR="00481D7D" w:rsidRPr="00481D7D">
        <w:rPr>
          <w:rFonts w:ascii="Times New Roman" w:hAnsi="Times New Roman" w:cs="Times New Roman"/>
          <w:bCs/>
          <w:sz w:val="28"/>
          <w:szCs w:val="28"/>
        </w:rPr>
        <w:t>detail.php?orgID</w:t>
      </w:r>
      <w:proofErr w:type="spellEnd"/>
      <w:r w:rsidR="00481D7D" w:rsidRPr="00481D7D">
        <w:rPr>
          <w:rFonts w:ascii="Times New Roman" w:hAnsi="Times New Roman" w:cs="Times New Roman"/>
          <w:bCs/>
          <w:sz w:val="28"/>
          <w:szCs w:val="28"/>
        </w:rPr>
        <w:t>=161700</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xml</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doc, docx, odt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xls, xlsx, ods</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pdf, jpg, jpeg, png, bmp, tiff</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 zip, rar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sig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расположенном(ых)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расположенном(ых)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расположенном(ых)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481D7D">
        <w:rPr>
          <w:rFonts w:ascii="Times New Roman" w:hAnsi="Times New Roman" w:cs="Times New Roman"/>
          <w:sz w:val="28"/>
          <w:szCs w:val="28"/>
        </w:rPr>
        <w:t>Петровского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проверок соблюдения и исполнения положений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481D7D">
        <w:rPr>
          <w:rFonts w:ascii="Times New Roman" w:hAnsi="Times New Roman" w:cs="Times New Roman"/>
          <w:sz w:val="28"/>
          <w:szCs w:val="28"/>
        </w:rPr>
        <w:t>Петровск</w:t>
      </w:r>
      <w:r w:rsidR="00481D7D">
        <w:rPr>
          <w:rFonts w:ascii="Times New Roman" w:hAnsi="Times New Roman" w:cs="Times New Roman"/>
          <w:sz w:val="28"/>
          <w:szCs w:val="28"/>
        </w:rPr>
        <w:t>о</w:t>
      </w:r>
      <w:r w:rsidR="00481D7D">
        <w:rPr>
          <w:rFonts w:ascii="Times New Roman" w:hAnsi="Times New Roman" w:cs="Times New Roman"/>
          <w:sz w:val="28"/>
          <w:szCs w:val="28"/>
        </w:rPr>
        <w:t>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уполномоченным должностным лицом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481D7D">
        <w:rPr>
          <w:rFonts w:ascii="Times New Roman" w:hAnsi="Times New Roman" w:cs="Times New Roman"/>
          <w:sz w:val="28"/>
          <w:szCs w:val="28"/>
        </w:rPr>
        <w:t>Петровского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481D7D">
        <w:rPr>
          <w:rFonts w:ascii="Times New Roman" w:hAnsi="Times New Roman" w:cs="Times New Roman"/>
          <w:sz w:val="28"/>
          <w:szCs w:val="28"/>
        </w:rPr>
        <w:t>Петровского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481D7D">
        <w:rPr>
          <w:rFonts w:ascii="Times New Roman" w:hAnsi="Times New Roman" w:cs="Times New Roman"/>
          <w:sz w:val="28"/>
          <w:szCs w:val="28"/>
        </w:rPr>
        <w:t>Петровского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481D7D" w:rsidRPr="00481D7D">
        <w:rPr>
          <w:rFonts w:ascii="Times New Roman" w:hAnsi="Times New Roman" w:cs="Times New Roman"/>
          <w:bCs/>
          <w:sz w:val="28"/>
          <w:szCs w:val="28"/>
        </w:rPr>
        <w:t>st-petrovskaja.ru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481D7D">
        <w:rPr>
          <w:rFonts w:ascii="Times New Roman" w:hAnsi="Times New Roman" w:cs="Times New Roman"/>
          <w:sz w:val="28"/>
          <w:szCs w:val="28"/>
        </w:rPr>
        <w:t>Петровского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481D7D">
        <w:rPr>
          <w:rFonts w:ascii="Times New Roman" w:hAnsi="Times New Roman" w:cs="Times New Roman"/>
          <w:sz w:val="28"/>
          <w:szCs w:val="28"/>
        </w:rPr>
        <w:t>Петровского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481D7D">
        <w:rPr>
          <w:rFonts w:ascii="Times New Roman" w:hAnsi="Times New Roman" w:cs="Times New Roman"/>
          <w:sz w:val="28"/>
          <w:szCs w:val="28"/>
        </w:rPr>
        <w:t>Петровского</w:t>
      </w:r>
      <w:r w:rsidR="0092095B" w:rsidRPr="00336BC7">
        <w:rPr>
          <w:rFonts w:ascii="Times New Roman" w:hAnsi="Times New Roman" w:cs="Times New Roman"/>
          <w:bCs/>
          <w:sz w:val="28"/>
          <w:szCs w:val="28"/>
        </w:rPr>
        <w:t xml:space="preserve"> сельского поселения </w:t>
      </w:r>
      <w:r w:rsidR="0092095B" w:rsidRPr="00336BC7">
        <w:rPr>
          <w:rFonts w:ascii="Times New Roman" w:hAnsi="Times New Roman" w:cs="Times New Roman"/>
          <w:bCs/>
          <w:sz w:val="28"/>
          <w:szCs w:val="28"/>
        </w:rPr>
        <w:lastRenderedPageBreak/>
        <w:t>Славянского района</w:t>
      </w:r>
      <w:r w:rsidRPr="00336BC7">
        <w:rPr>
          <w:rFonts w:ascii="Times New Roman" w:hAnsi="Times New Roman" w:cs="Times New Roman"/>
          <w:bCs/>
          <w:sz w:val="28"/>
          <w:szCs w:val="28"/>
        </w:rPr>
        <w:t xml:space="preserve"> от </w:t>
      </w:r>
      <w:r w:rsidR="0092095B" w:rsidRPr="00481D7D">
        <w:rPr>
          <w:rFonts w:ascii="Times New Roman" w:hAnsi="Times New Roman" w:cs="Times New Roman"/>
          <w:bCs/>
          <w:sz w:val="28"/>
          <w:szCs w:val="28"/>
        </w:rPr>
        <w:t>2</w:t>
      </w:r>
      <w:r w:rsidR="00481D7D" w:rsidRPr="00481D7D">
        <w:rPr>
          <w:rFonts w:ascii="Times New Roman" w:hAnsi="Times New Roman" w:cs="Times New Roman"/>
          <w:bCs/>
          <w:sz w:val="28"/>
          <w:szCs w:val="28"/>
        </w:rPr>
        <w:t>1</w:t>
      </w:r>
      <w:r w:rsidRPr="00481D7D">
        <w:rPr>
          <w:rFonts w:ascii="Times New Roman" w:hAnsi="Times New Roman" w:cs="Times New Roman"/>
          <w:bCs/>
          <w:sz w:val="28"/>
          <w:szCs w:val="28"/>
        </w:rPr>
        <w:t xml:space="preserve"> </w:t>
      </w:r>
      <w:r w:rsidR="0092095B" w:rsidRPr="00481D7D">
        <w:rPr>
          <w:rFonts w:ascii="Times New Roman" w:hAnsi="Times New Roman" w:cs="Times New Roman"/>
          <w:bCs/>
          <w:sz w:val="28"/>
          <w:szCs w:val="28"/>
        </w:rPr>
        <w:t>но</w:t>
      </w:r>
      <w:r w:rsidRPr="00481D7D">
        <w:rPr>
          <w:rFonts w:ascii="Times New Roman" w:hAnsi="Times New Roman" w:cs="Times New Roman"/>
          <w:bCs/>
          <w:sz w:val="28"/>
          <w:szCs w:val="28"/>
        </w:rPr>
        <w:t>ября 2018 года №</w:t>
      </w:r>
      <w:r w:rsidR="0092095B" w:rsidRPr="00481D7D">
        <w:rPr>
          <w:rFonts w:ascii="Times New Roman" w:hAnsi="Times New Roman" w:cs="Times New Roman"/>
          <w:bCs/>
          <w:sz w:val="28"/>
          <w:szCs w:val="28"/>
        </w:rPr>
        <w:t> </w:t>
      </w:r>
      <w:r w:rsidR="00481D7D" w:rsidRPr="00481D7D">
        <w:rPr>
          <w:rFonts w:ascii="Times New Roman" w:hAnsi="Times New Roman" w:cs="Times New Roman"/>
          <w:bCs/>
          <w:sz w:val="28"/>
          <w:szCs w:val="28"/>
        </w:rPr>
        <w:t>370</w:t>
      </w:r>
      <w:r w:rsidRPr="00481D7D">
        <w:rPr>
          <w:rFonts w:ascii="Times New Roman" w:hAnsi="Times New Roman" w:cs="Times New Roman"/>
          <w:bCs/>
          <w:sz w:val="28"/>
          <w:szCs w:val="28"/>
        </w:rPr>
        <w:t xml:space="preserve"> «</w:t>
      </w:r>
      <w:r w:rsidR="00481D7D" w:rsidRPr="00481D7D">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481D7D" w:rsidRPr="00481D7D">
        <w:rPr>
          <w:rFonts w:ascii="Times New Roman" w:hAnsi="Times New Roman" w:cs="Times New Roman"/>
          <w:sz w:val="28"/>
          <w:szCs w:val="28"/>
        </w:rPr>
        <w:t>и</w:t>
      </w:r>
      <w:r w:rsidR="00481D7D" w:rsidRPr="00481D7D">
        <w:rPr>
          <w:rFonts w:ascii="Times New Roman" w:hAnsi="Times New Roman" w:cs="Times New Roman"/>
          <w:sz w:val="28"/>
          <w:szCs w:val="28"/>
        </w:rPr>
        <w:t>страции Петровского сельского поселения Славянского района и ее должнос</w:t>
      </w:r>
      <w:r w:rsidR="00481D7D" w:rsidRPr="00481D7D">
        <w:rPr>
          <w:rFonts w:ascii="Times New Roman" w:hAnsi="Times New Roman" w:cs="Times New Roman"/>
          <w:sz w:val="28"/>
          <w:szCs w:val="28"/>
        </w:rPr>
        <w:t>т</w:t>
      </w:r>
      <w:r w:rsidR="00481D7D" w:rsidRPr="00481D7D">
        <w:rPr>
          <w:rFonts w:ascii="Times New Roman" w:hAnsi="Times New Roman" w:cs="Times New Roman"/>
          <w:sz w:val="28"/>
          <w:szCs w:val="28"/>
        </w:rPr>
        <w:t>ных лиц, муниципальных служащих</w:t>
      </w:r>
      <w:r w:rsidRPr="00481D7D">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481D7D">
        <w:rPr>
          <w:rFonts w:ascii="Times New Roman" w:hAnsi="Times New Roman" w:cs="Times New Roman"/>
          <w:bCs/>
          <w:sz w:val="28"/>
          <w:szCs w:val="28"/>
        </w:rPr>
        <w:t>В.И. Михайленко</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481D7D">
              <w:rPr>
                <w:szCs w:val="28"/>
              </w:rPr>
              <w:t>Петровского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lastRenderedPageBreak/>
              <w:t>ставляется для размещения объектов, предусмотренных этим документом и (или) этим пр</w:t>
            </w:r>
            <w:r w:rsidRPr="00336BC7">
              <w:t>о</w:t>
            </w:r>
            <w:r w:rsidRPr="00336BC7">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481D7D">
        <w:rPr>
          <w:bCs/>
          <w:sz w:val="28"/>
          <w:szCs w:val="28"/>
        </w:rPr>
        <w:t xml:space="preserve">                В.И. Михайленко</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481D7D">
              <w:rPr>
                <w:szCs w:val="28"/>
              </w:rPr>
              <w:t>Петровского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(пп.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lastRenderedPageBreak/>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481D7D">
        <w:rPr>
          <w:bCs/>
          <w:szCs w:val="28"/>
        </w:rPr>
        <w:t>Петровского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481D7D">
        <w:rPr>
          <w:bCs/>
          <w:szCs w:val="28"/>
        </w:rPr>
        <w:t>Петровского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481D7D">
        <w:rPr>
          <w:bCs/>
          <w:szCs w:val="28"/>
        </w:rPr>
        <w:t>Петровского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481D7D">
        <w:rPr>
          <w:bCs/>
          <w:szCs w:val="28"/>
        </w:rPr>
        <w:t>Петровского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481D7D">
        <w:rPr>
          <w:bCs/>
          <w:szCs w:val="28"/>
        </w:rPr>
        <w:t>Петровского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481D7D">
        <w:rPr>
          <w:rFonts w:ascii="Times New Roman" w:hAnsi="Times New Roman" w:cs="Times New Roman"/>
          <w:sz w:val="28"/>
          <w:szCs w:val="28"/>
        </w:rPr>
        <w:t>Петровского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481D7D">
        <w:rPr>
          <w:bCs/>
          <w:sz w:val="28"/>
          <w:szCs w:val="28"/>
        </w:rPr>
        <w:t>В.И. Михайленко</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5A" w:rsidRDefault="00041A5A">
      <w:r>
        <w:separator/>
      </w:r>
    </w:p>
  </w:endnote>
  <w:endnote w:type="continuationSeparator" w:id="0">
    <w:p w:rsidR="00041A5A" w:rsidRDefault="0004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5A" w:rsidRDefault="00041A5A">
      <w:r>
        <w:separator/>
      </w:r>
    </w:p>
  </w:footnote>
  <w:footnote w:type="continuationSeparator" w:id="0">
    <w:p w:rsidR="00041A5A" w:rsidRDefault="0004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C203F7">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C203F7">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C203F7">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C203F7">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C203F7">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1A5A"/>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1D7D"/>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03F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0680-99D0-4330-A9A5-E18FCCE2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16053</TotalTime>
  <Pages>84</Pages>
  <Words>29894</Words>
  <Characters>170401</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199896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238</cp:revision>
  <cp:lastPrinted>2022-12-21T11:05:00Z</cp:lastPrinted>
  <dcterms:created xsi:type="dcterms:W3CDTF">2018-08-01T05:32:00Z</dcterms:created>
  <dcterms:modified xsi:type="dcterms:W3CDTF">2023-04-03T05:24:00Z</dcterms:modified>
</cp:coreProperties>
</file>