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810CF">
        <w:rPr>
          <w:b/>
          <w:sz w:val="28"/>
          <w:szCs w:val="28"/>
        </w:rPr>
        <w:t>Маевского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F810CF" w:rsidRPr="00F810CF">
        <w:rPr>
          <w:b/>
          <w:sz w:val="28"/>
          <w:szCs w:val="28"/>
        </w:rPr>
        <w:t>23 июля</w:t>
      </w:r>
      <w:r w:rsidRPr="00F810CF">
        <w:rPr>
          <w:b/>
          <w:sz w:val="28"/>
          <w:szCs w:val="28"/>
        </w:rPr>
        <w:t xml:space="preserve"> 2024</w:t>
      </w:r>
      <w:r w:rsidRPr="009B4506">
        <w:rPr>
          <w:b/>
          <w:sz w:val="28"/>
          <w:szCs w:val="28"/>
        </w:rPr>
        <w:t> г. № </w:t>
      </w:r>
      <w:r w:rsidR="00F810CF">
        <w:rPr>
          <w:b/>
          <w:sz w:val="28"/>
          <w:szCs w:val="28"/>
        </w:rPr>
        <w:t>127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F810CF">
        <w:rPr>
          <w:sz w:val="28"/>
          <w:szCs w:val="28"/>
        </w:rPr>
        <w:t>Маевского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</w:t>
      </w:r>
      <w:r w:rsidR="004B69E8" w:rsidRPr="009B4506">
        <w:rPr>
          <w:sz w:val="28"/>
          <w:szCs w:val="28"/>
        </w:rPr>
        <w:t>ь</w:t>
      </w:r>
      <w:r w:rsidR="004B69E8" w:rsidRPr="009B4506">
        <w:rPr>
          <w:sz w:val="28"/>
          <w:szCs w:val="28"/>
        </w:rPr>
        <w:t>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F810CF" w:rsidRPr="00F810CF">
        <w:rPr>
          <w:sz w:val="28"/>
          <w:szCs w:val="28"/>
        </w:rPr>
        <w:t>23 июля</w:t>
      </w:r>
      <w:r w:rsidR="009938C7" w:rsidRPr="00F810CF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F810CF">
        <w:rPr>
          <w:sz w:val="28"/>
          <w:szCs w:val="28"/>
        </w:rPr>
        <w:t>127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</w:t>
      </w:r>
      <w:r w:rsidR="00E5595F" w:rsidRPr="009B4506">
        <w:rPr>
          <w:sz w:val="28"/>
          <w:szCs w:val="28"/>
        </w:rPr>
        <w:t>е</w:t>
      </w:r>
      <w:r w:rsidR="00E5595F" w:rsidRPr="009B4506">
        <w:rPr>
          <w:sz w:val="28"/>
          <w:szCs w:val="28"/>
        </w:rPr>
        <w:t>нии административного регламента предоставления муниципальной услуги «Согл</w:t>
      </w:r>
      <w:r w:rsidR="00E5595F" w:rsidRPr="009B4506">
        <w:rPr>
          <w:sz w:val="28"/>
          <w:szCs w:val="28"/>
        </w:rPr>
        <w:t>а</w:t>
      </w:r>
      <w:r w:rsidR="00E5595F" w:rsidRPr="009B4506">
        <w:rPr>
          <w:sz w:val="28"/>
          <w:szCs w:val="28"/>
        </w:rPr>
        <w:t>сование создания места (площадки) накопления твердых коммунальных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810CF">
        <w:rPr>
          <w:sz w:val="28"/>
          <w:szCs w:val="28"/>
        </w:rPr>
        <w:t>Маевского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810CF">
        <w:rPr>
          <w:rFonts w:eastAsia="Calibri"/>
          <w:color w:val="000000"/>
          <w:sz w:val="28"/>
          <w:szCs w:val="28"/>
          <w:lang w:eastAsia="en-US"/>
        </w:rPr>
        <w:t>Коробова Л.С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F810CF">
        <w:rPr>
          <w:sz w:val="28"/>
          <w:szCs w:val="28"/>
        </w:rPr>
        <w:t>Маевского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810CF">
        <w:rPr>
          <w:sz w:val="28"/>
          <w:szCs w:val="28"/>
        </w:rPr>
        <w:t>Маевского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F810CF">
        <w:rPr>
          <w:rFonts w:eastAsia="Calibri"/>
          <w:sz w:val="28"/>
          <w:szCs w:val="28"/>
        </w:rPr>
        <w:t xml:space="preserve">     А.Е. Дмитриче</w:t>
      </w:r>
      <w:r w:rsidR="00F810CF">
        <w:rPr>
          <w:rFonts w:eastAsia="Calibri"/>
          <w:sz w:val="28"/>
          <w:szCs w:val="28"/>
        </w:rPr>
        <w:t>н</w:t>
      </w:r>
      <w:r w:rsidR="00F810CF">
        <w:rPr>
          <w:rFonts w:eastAsia="Calibri"/>
          <w:sz w:val="28"/>
          <w:szCs w:val="28"/>
        </w:rPr>
        <w:t>ко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F810CF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Маевского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F810CF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F810CF">
        <w:rPr>
          <w:b/>
          <w:sz w:val="28"/>
          <w:szCs w:val="28"/>
        </w:rPr>
        <w:t>Маевского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F810CF" w:rsidRPr="00F810CF">
        <w:rPr>
          <w:b/>
          <w:sz w:val="28"/>
          <w:szCs w:val="28"/>
        </w:rPr>
        <w:t>23 июля</w:t>
      </w:r>
      <w:r w:rsidR="00161791" w:rsidRPr="00F810CF">
        <w:rPr>
          <w:b/>
          <w:sz w:val="28"/>
          <w:szCs w:val="28"/>
        </w:rPr>
        <w:t xml:space="preserve"> 2024</w:t>
      </w:r>
      <w:r w:rsidR="00161791" w:rsidRPr="009B4506">
        <w:rPr>
          <w:b/>
          <w:sz w:val="28"/>
          <w:szCs w:val="28"/>
        </w:rPr>
        <w:t> г.</w:t>
      </w:r>
      <w:r w:rsidR="00F810CF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>№ </w:t>
      </w:r>
      <w:r w:rsidR="00F810CF">
        <w:rPr>
          <w:b/>
          <w:sz w:val="28"/>
          <w:szCs w:val="28"/>
        </w:rPr>
        <w:t>127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810CF">
        <w:rPr>
          <w:sz w:val="28"/>
          <w:szCs w:val="28"/>
        </w:rPr>
        <w:t>Маевского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</w:t>
      </w:r>
      <w:r w:rsidR="00F810CF">
        <w:rPr>
          <w:rFonts w:eastAsia="Calibri"/>
          <w:sz w:val="28"/>
          <w:szCs w:val="28"/>
        </w:rPr>
        <w:t>А.Е. Дмитриче</w:t>
      </w:r>
      <w:r w:rsidR="00F810CF">
        <w:rPr>
          <w:rFonts w:eastAsia="Calibri"/>
          <w:sz w:val="28"/>
          <w:szCs w:val="28"/>
        </w:rPr>
        <w:t>н</w:t>
      </w:r>
      <w:r w:rsidR="00F810CF">
        <w:rPr>
          <w:rFonts w:eastAsia="Calibri"/>
          <w:sz w:val="28"/>
          <w:szCs w:val="28"/>
        </w:rPr>
        <w:t>ко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9A" w:rsidRDefault="00C1409A">
      <w:r>
        <w:separator/>
      </w:r>
    </w:p>
  </w:endnote>
  <w:endnote w:type="continuationSeparator" w:id="0">
    <w:p w:rsidR="00C1409A" w:rsidRDefault="00C1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9A" w:rsidRDefault="00C1409A">
      <w:r>
        <w:separator/>
      </w:r>
    </w:p>
  </w:footnote>
  <w:footnote w:type="continuationSeparator" w:id="0">
    <w:p w:rsidR="00C1409A" w:rsidRDefault="00C1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C140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C1409A">
    <w:pPr>
      <w:pStyle w:val="a4"/>
      <w:jc w:val="center"/>
    </w:pPr>
  </w:p>
  <w:p w:rsidR="00C50879" w:rsidRDefault="00C1409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10CF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10C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810C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1409A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810CF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2025-03-28T13:22:00Z</dcterms:modified>
</cp:coreProperties>
</file>