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686BC0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686BC0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86BC0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686BC0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686BC0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86BC0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86BC0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86BC0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686BC0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686BC0">
        <w:rPr>
          <w:b/>
          <w:color w:val="000000" w:themeColor="text1"/>
          <w:sz w:val="28"/>
          <w:szCs w:val="28"/>
        </w:rPr>
        <w:t>я</w:t>
      </w:r>
      <w:r w:rsidRPr="00686BC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686BC0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686BC0">
        <w:rPr>
          <w:b/>
          <w:color w:val="000000" w:themeColor="text1"/>
          <w:sz w:val="28"/>
          <w:szCs w:val="28"/>
        </w:rPr>
        <w:t>»</w:t>
      </w:r>
    </w:p>
    <w:p w:rsidR="00A540FA" w:rsidRPr="00686BC0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686BC0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686BC0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6BC0" w:rsidRPr="00686BC0">
        <w:rPr>
          <w:color w:val="000000"/>
          <w:sz w:val="28"/>
          <w:szCs w:val="28"/>
        </w:rPr>
        <w:t>Коржевского</w:t>
      </w:r>
      <w:r w:rsidR="00CD30FA" w:rsidRPr="00686BC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686BC0">
        <w:rPr>
          <w:color w:val="000000" w:themeColor="text1"/>
          <w:sz w:val="28"/>
          <w:szCs w:val="28"/>
        </w:rPr>
        <w:t>о</w:t>
      </w:r>
      <w:r w:rsidR="00CD30FA" w:rsidRPr="00686BC0">
        <w:rPr>
          <w:color w:val="000000" w:themeColor="text1"/>
          <w:sz w:val="28"/>
          <w:szCs w:val="28"/>
        </w:rPr>
        <w:t>на</w:t>
      </w:r>
      <w:r w:rsidRPr="00686BC0">
        <w:rPr>
          <w:color w:val="000000" w:themeColor="text1"/>
          <w:sz w:val="28"/>
          <w:szCs w:val="28"/>
        </w:rPr>
        <w:t>, п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о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с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т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а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н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о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в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л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я</w:t>
      </w:r>
      <w:r w:rsidR="00E12A40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ю:</w:t>
      </w:r>
    </w:p>
    <w:p w:rsidR="004B681C" w:rsidRPr="00686BC0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 xml:space="preserve">1. </w:t>
      </w:r>
      <w:r w:rsidR="004B681C" w:rsidRPr="00686BC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686BC0">
        <w:rPr>
          <w:color w:val="000000" w:themeColor="text1"/>
          <w:sz w:val="28"/>
          <w:szCs w:val="28"/>
        </w:rPr>
        <w:t>я</w:t>
      </w:r>
      <w:r w:rsidR="004B681C" w:rsidRPr="00686BC0">
        <w:rPr>
          <w:color w:val="000000" w:themeColor="text1"/>
          <w:sz w:val="28"/>
          <w:szCs w:val="28"/>
        </w:rPr>
        <w:t xml:space="preserve"> муниципал</w:t>
      </w:r>
      <w:r w:rsidR="004B681C" w:rsidRPr="00686BC0">
        <w:rPr>
          <w:color w:val="000000" w:themeColor="text1"/>
          <w:sz w:val="28"/>
          <w:szCs w:val="28"/>
        </w:rPr>
        <w:t>ь</w:t>
      </w:r>
      <w:r w:rsidR="004B681C" w:rsidRPr="00686BC0">
        <w:rPr>
          <w:color w:val="000000" w:themeColor="text1"/>
          <w:sz w:val="28"/>
          <w:szCs w:val="28"/>
        </w:rPr>
        <w:t>ной услуги «</w:t>
      </w:r>
      <w:r w:rsidR="00D54C51" w:rsidRPr="00686BC0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686BC0">
        <w:rPr>
          <w:color w:val="000000" w:themeColor="text1"/>
          <w:sz w:val="28"/>
          <w:szCs w:val="28"/>
        </w:rPr>
        <w:t>»</w:t>
      </w:r>
      <w:r w:rsidR="005E2B1B" w:rsidRPr="00686BC0">
        <w:rPr>
          <w:bCs/>
          <w:color w:val="000000" w:themeColor="text1"/>
          <w:sz w:val="28"/>
          <w:szCs w:val="28"/>
        </w:rPr>
        <w:t xml:space="preserve"> </w:t>
      </w:r>
      <w:r w:rsidR="005E2B1B" w:rsidRPr="00686BC0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686BC0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86BC0">
        <w:rPr>
          <w:bCs/>
          <w:color w:val="000000" w:themeColor="text1"/>
          <w:sz w:val="28"/>
          <w:szCs w:val="28"/>
        </w:rPr>
        <w:t xml:space="preserve">2. </w:t>
      </w:r>
      <w:r w:rsidR="005E2B1B" w:rsidRPr="00686BC0">
        <w:rPr>
          <w:color w:val="000000" w:themeColor="text1"/>
          <w:sz w:val="28"/>
          <w:szCs w:val="28"/>
        </w:rPr>
        <w:t>Признать утратившим</w:t>
      </w:r>
      <w:r w:rsidR="0012638D" w:rsidRPr="00686BC0">
        <w:rPr>
          <w:color w:val="000000" w:themeColor="text1"/>
          <w:sz w:val="28"/>
          <w:szCs w:val="28"/>
        </w:rPr>
        <w:t>и</w:t>
      </w:r>
      <w:r w:rsidR="005E2B1B" w:rsidRPr="00686BC0">
        <w:rPr>
          <w:color w:val="000000" w:themeColor="text1"/>
          <w:sz w:val="28"/>
          <w:szCs w:val="28"/>
        </w:rPr>
        <w:t xml:space="preserve"> силу</w:t>
      </w:r>
      <w:r w:rsidR="0012638D" w:rsidRPr="00686BC0">
        <w:rPr>
          <w:color w:val="000000" w:themeColor="text1"/>
          <w:sz w:val="28"/>
          <w:szCs w:val="28"/>
        </w:rPr>
        <w:t>:</w:t>
      </w:r>
    </w:p>
    <w:p w:rsidR="0012638D" w:rsidRPr="00686BC0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86BC0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86BC0" w:rsidRPr="00686BC0">
        <w:rPr>
          <w:bCs/>
          <w:color w:val="000000" w:themeColor="text1"/>
          <w:sz w:val="28"/>
          <w:szCs w:val="28"/>
        </w:rPr>
        <w:t>Коржевского</w:t>
      </w:r>
      <w:r w:rsidRPr="00686BC0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686BC0">
        <w:rPr>
          <w:bCs/>
          <w:color w:val="000000" w:themeColor="text1"/>
          <w:sz w:val="28"/>
          <w:szCs w:val="28"/>
        </w:rPr>
        <w:t>н</w:t>
      </w:r>
      <w:r w:rsidRPr="00686BC0">
        <w:rPr>
          <w:bCs/>
          <w:color w:val="000000" w:themeColor="text1"/>
          <w:sz w:val="28"/>
          <w:szCs w:val="28"/>
        </w:rPr>
        <w:t xml:space="preserve">ского района от </w:t>
      </w:r>
      <w:r w:rsidR="00686BC0" w:rsidRPr="00686BC0">
        <w:rPr>
          <w:bCs/>
          <w:color w:val="000000" w:themeColor="text1"/>
          <w:sz w:val="28"/>
          <w:szCs w:val="28"/>
        </w:rPr>
        <w:t>27 декабря 2018 года № 224</w:t>
      </w:r>
      <w:r w:rsidRPr="00686BC0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686BC0">
        <w:rPr>
          <w:bCs/>
          <w:color w:val="000000" w:themeColor="text1"/>
          <w:sz w:val="28"/>
          <w:szCs w:val="28"/>
        </w:rPr>
        <w:t>в</w:t>
      </w:r>
      <w:r w:rsidRPr="00686BC0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686BC0">
        <w:rPr>
          <w:bCs/>
          <w:color w:val="000000" w:themeColor="text1"/>
          <w:sz w:val="28"/>
          <w:szCs w:val="28"/>
        </w:rPr>
        <w:t>у</w:t>
      </w:r>
      <w:r w:rsidRPr="00686BC0">
        <w:rPr>
          <w:bCs/>
          <w:color w:val="000000" w:themeColor="text1"/>
          <w:sz w:val="28"/>
          <w:szCs w:val="28"/>
        </w:rPr>
        <w:t>ниципального имущ</w:t>
      </w:r>
      <w:r w:rsidRPr="00686BC0">
        <w:rPr>
          <w:bCs/>
          <w:color w:val="000000" w:themeColor="text1"/>
          <w:sz w:val="28"/>
          <w:szCs w:val="28"/>
        </w:rPr>
        <w:t>е</w:t>
      </w:r>
      <w:r w:rsidRPr="00686BC0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686BC0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86BC0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86BC0" w:rsidRPr="00686BC0">
        <w:rPr>
          <w:bCs/>
          <w:color w:val="000000" w:themeColor="text1"/>
          <w:sz w:val="28"/>
          <w:szCs w:val="28"/>
        </w:rPr>
        <w:t>Коржевского</w:t>
      </w:r>
      <w:r w:rsidRPr="00686BC0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686BC0">
        <w:rPr>
          <w:bCs/>
          <w:color w:val="000000" w:themeColor="text1"/>
          <w:sz w:val="28"/>
          <w:szCs w:val="28"/>
        </w:rPr>
        <w:t>н</w:t>
      </w:r>
      <w:r w:rsidRPr="00686BC0">
        <w:rPr>
          <w:bCs/>
          <w:color w:val="000000" w:themeColor="text1"/>
          <w:sz w:val="28"/>
          <w:szCs w:val="28"/>
        </w:rPr>
        <w:t xml:space="preserve">ского района от </w:t>
      </w:r>
      <w:r w:rsidR="00686BC0" w:rsidRPr="00686BC0">
        <w:rPr>
          <w:bCs/>
          <w:color w:val="000000" w:themeColor="text1"/>
          <w:sz w:val="28"/>
          <w:szCs w:val="28"/>
        </w:rPr>
        <w:t>29 июля 2020 года № 119</w:t>
      </w:r>
      <w:r w:rsidRPr="00686BC0">
        <w:rPr>
          <w:bCs/>
          <w:color w:val="000000" w:themeColor="text1"/>
          <w:sz w:val="28"/>
          <w:szCs w:val="28"/>
        </w:rPr>
        <w:t xml:space="preserve"> «О внесении изменения в постано</w:t>
      </w:r>
      <w:r w:rsidRPr="00686BC0">
        <w:rPr>
          <w:bCs/>
          <w:color w:val="000000" w:themeColor="text1"/>
          <w:sz w:val="28"/>
          <w:szCs w:val="28"/>
        </w:rPr>
        <w:t>в</w:t>
      </w:r>
      <w:r w:rsidRPr="00686BC0">
        <w:rPr>
          <w:bCs/>
          <w:color w:val="000000" w:themeColor="text1"/>
          <w:sz w:val="28"/>
          <w:szCs w:val="28"/>
        </w:rPr>
        <w:t xml:space="preserve">ление администрации </w:t>
      </w:r>
      <w:r w:rsidR="00686BC0" w:rsidRPr="00686BC0">
        <w:rPr>
          <w:bCs/>
          <w:color w:val="000000" w:themeColor="text1"/>
          <w:sz w:val="28"/>
          <w:szCs w:val="28"/>
        </w:rPr>
        <w:t>Коржевского</w:t>
      </w:r>
      <w:r w:rsidRPr="00686BC0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686BC0" w:rsidRPr="00686BC0">
        <w:rPr>
          <w:bCs/>
          <w:color w:val="000000" w:themeColor="text1"/>
          <w:sz w:val="28"/>
          <w:szCs w:val="28"/>
        </w:rPr>
        <w:t>27 декабря 2018 года № 224</w:t>
      </w:r>
      <w:r w:rsidRPr="00686BC0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</w:t>
      </w:r>
      <w:r w:rsidRPr="00686BC0">
        <w:rPr>
          <w:bCs/>
          <w:color w:val="000000" w:themeColor="text1"/>
          <w:sz w:val="28"/>
          <w:szCs w:val="28"/>
        </w:rPr>
        <w:t>е</w:t>
      </w:r>
      <w:r w:rsidRPr="00686BC0">
        <w:rPr>
          <w:bCs/>
          <w:color w:val="000000" w:themeColor="text1"/>
          <w:sz w:val="28"/>
          <w:szCs w:val="28"/>
        </w:rPr>
        <w:t>ния торгов».</w:t>
      </w:r>
    </w:p>
    <w:p w:rsidR="00E46CE8" w:rsidRPr="00686BC0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86BC0">
        <w:rPr>
          <w:color w:val="000000" w:themeColor="text1"/>
          <w:sz w:val="28"/>
          <w:szCs w:val="28"/>
        </w:rPr>
        <w:t>3</w:t>
      </w:r>
      <w:r w:rsidR="0035393D" w:rsidRPr="00686BC0">
        <w:rPr>
          <w:color w:val="000000" w:themeColor="text1"/>
          <w:sz w:val="28"/>
          <w:szCs w:val="28"/>
        </w:rPr>
        <w:t xml:space="preserve">. </w:t>
      </w:r>
      <w:r w:rsidR="00E46CE8" w:rsidRPr="00686BC0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686BC0" w:rsidRPr="00686BC0">
        <w:rPr>
          <w:color w:val="000000"/>
          <w:sz w:val="28"/>
          <w:szCs w:val="28"/>
        </w:rPr>
        <w:t>Зеленцова</w:t>
      </w:r>
      <w:r w:rsidR="00E46CE8" w:rsidRPr="00686BC0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86BC0" w:rsidRPr="00686BC0">
        <w:rPr>
          <w:color w:val="000000"/>
          <w:sz w:val="28"/>
          <w:szCs w:val="28"/>
        </w:rPr>
        <w:t>Коржевского</w:t>
      </w:r>
      <w:r w:rsidR="00E46CE8" w:rsidRPr="00686BC0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686BC0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686BC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686BC0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686BC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686BC0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686BC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686BC0" w:rsidRPr="00686BC0">
        <w:rPr>
          <w:color w:val="000000"/>
          <w:sz w:val="28"/>
          <w:szCs w:val="28"/>
        </w:rPr>
        <w:t>И.И. Зеленцову</w:t>
      </w:r>
      <w:r w:rsidRPr="00686BC0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686BC0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86BC0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686BC0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686BC0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686BC0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86BC0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86BC0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686BC0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686BC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86BC0" w:rsidRPr="00686BC0">
        <w:rPr>
          <w:color w:val="000000"/>
          <w:sz w:val="28"/>
          <w:szCs w:val="28"/>
        </w:rPr>
        <w:t>Л.Н.</w:t>
      </w:r>
      <w:r w:rsidR="0080027D" w:rsidRPr="00686BC0">
        <w:rPr>
          <w:color w:val="000000"/>
          <w:sz w:val="28"/>
          <w:szCs w:val="28"/>
        </w:rPr>
        <w:t> </w:t>
      </w:r>
      <w:r w:rsidR="00686BC0" w:rsidRPr="00686BC0">
        <w:rPr>
          <w:color w:val="000000"/>
          <w:sz w:val="28"/>
          <w:szCs w:val="28"/>
        </w:rPr>
        <w:t>Трегубова</w:t>
      </w:r>
    </w:p>
    <w:p w:rsidR="00C1706C" w:rsidRPr="00686BC0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686BC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686BC0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686BC0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86BC0">
        <w:rPr>
          <w:bCs/>
          <w:color w:val="000000" w:themeColor="text1"/>
          <w:sz w:val="28"/>
          <w:szCs w:val="28"/>
        </w:rPr>
        <w:t>УТВЕРЖДЕН</w:t>
      </w:r>
    </w:p>
    <w:p w:rsidR="00C1706C" w:rsidRPr="00686BC0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6BC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686BC0" w:rsidRDefault="00686BC0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6BC0">
        <w:rPr>
          <w:color w:val="000000"/>
          <w:sz w:val="28"/>
          <w:szCs w:val="28"/>
        </w:rPr>
        <w:t>Коржевского</w:t>
      </w:r>
      <w:r w:rsidR="0080027D" w:rsidRPr="00686BC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686BC0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6BC0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686BC0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6BC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686BC0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86BC0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86BC0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686BC0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86BC0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предоставления</w:t>
      </w:r>
      <w:r w:rsidR="004B681C" w:rsidRPr="00686BC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686BC0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«</w:t>
      </w:r>
      <w:r w:rsidR="00D54C51" w:rsidRPr="00686BC0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686BC0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686BC0">
        <w:rPr>
          <w:b/>
          <w:color w:val="000000" w:themeColor="text1"/>
          <w:sz w:val="28"/>
          <w:szCs w:val="28"/>
        </w:rPr>
        <w:t>»</w:t>
      </w:r>
    </w:p>
    <w:p w:rsidR="004B681C" w:rsidRPr="00686BC0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86BC0">
        <w:rPr>
          <w:b/>
          <w:sz w:val="28"/>
        </w:rPr>
        <w:t>I</w:t>
      </w:r>
      <w:r w:rsidR="00102A25" w:rsidRPr="00686BC0">
        <w:rPr>
          <w:b/>
          <w:sz w:val="28"/>
        </w:rPr>
        <w:t>. Общие положения</w:t>
      </w:r>
    </w:p>
    <w:p w:rsidR="004B681C" w:rsidRPr="00686BC0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686BC0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86BC0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686BC0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86BC0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686BC0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86BC0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86BC0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86BC0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86BC0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86BC0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6BC0">
        <w:rPr>
          <w:b/>
          <w:sz w:val="28"/>
        </w:rPr>
        <w:t>II. Стандарт предоставления муниципальной услуги</w:t>
      </w:r>
    </w:p>
    <w:p w:rsidR="009F1BB5" w:rsidRPr="00686BC0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686BC0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86BC0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86BC0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686BC0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686BC0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686BC0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86BC0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86BC0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686BC0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686BC0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686BC0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686BC0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686BC0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686BC0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86BC0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86BC0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86BC0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86BC0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86BC0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slavyansk.ru/article/a-2216.html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86BC0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686BC0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686BC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6BC0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686BC0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6BC0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686BC0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686BC0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686BC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6BC0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686BC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6BC0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686BC0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686BC0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6BC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686BC0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686BC0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686BC0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686BC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6BC0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686BC0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686BC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6BC0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86BC0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6BC0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86BC0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86BC0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86BC0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86BC0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86BC0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86BC0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686BC0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686BC0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86BC0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86BC0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686BC0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86BC0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86BC0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86BC0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86BC0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686BC0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686BC0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686BC0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686BC0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686BC0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686BC0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86BC0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686BC0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686BC0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686BC0">
        <w:rPr>
          <w:rFonts w:ascii="Times New Roman" w:hAnsi="Times New Roman" w:cs="Times New Roman"/>
          <w:sz w:val="28"/>
        </w:rPr>
        <w:t>о</w:t>
      </w:r>
      <w:r w:rsidRPr="00686BC0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686BC0">
        <w:rPr>
          <w:rFonts w:ascii="Times New Roman" w:hAnsi="Times New Roman" w:cs="Times New Roman"/>
          <w:sz w:val="28"/>
        </w:rPr>
        <w:t>ь</w:t>
      </w:r>
      <w:r w:rsidRPr="00686BC0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686BC0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86BC0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686BC0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686BC0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86BC0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86BC0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86BC0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686BC0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686BC0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86BC0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686BC0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686BC0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86BC0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86BC0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686BC0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86BC0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686BC0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86BC0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86BC0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86BC0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86BC0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86BC0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86BC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686BC0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6BC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686BC0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686BC0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686BC0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686BC0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6BC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ударстве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686BC0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686BC0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6BC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686BC0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686BC0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686BC0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686BC0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686BC0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686BC0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686BC0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686BC0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6BC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 ув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686BC0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86BC0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6BC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мента, иных нормативных правовых актов.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услуги. Персональная ответственность устанавливается в их дол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86BC0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86BC0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86BC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86BC0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86BC0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686BC0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86BC0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86BC0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86BC0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686BC0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F5000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175</w:t>
      </w:r>
      <w:r w:rsidR="0038441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686BC0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38441E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86BC0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686BC0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686BC0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86BC0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86BC0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686BC0">
        <w:rPr>
          <w:rFonts w:ascii="Times New Roman" w:hAnsi="Times New Roman" w:cs="Times New Roman"/>
          <w:sz w:val="28"/>
        </w:rPr>
        <w:t>обжалования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686BC0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86BC0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686BC0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686BC0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686BC0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686BC0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686BC0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86BC0" w:rsidRPr="00686BC0">
        <w:rPr>
          <w:rFonts w:eastAsia="Calibri"/>
          <w:color w:val="000000" w:themeColor="text1"/>
          <w:sz w:val="28"/>
          <w:szCs w:val="28"/>
        </w:rPr>
        <w:t>Л.Н.</w:t>
      </w:r>
      <w:r w:rsidRPr="00686BC0">
        <w:rPr>
          <w:rFonts w:eastAsia="Calibri"/>
          <w:color w:val="000000" w:themeColor="text1"/>
          <w:sz w:val="28"/>
          <w:szCs w:val="28"/>
        </w:rPr>
        <w:t> </w:t>
      </w:r>
      <w:r w:rsidR="00686BC0" w:rsidRPr="00686BC0">
        <w:rPr>
          <w:rFonts w:eastAsia="Calibri"/>
          <w:color w:val="000000" w:themeColor="text1"/>
          <w:sz w:val="28"/>
          <w:szCs w:val="28"/>
        </w:rPr>
        <w:t>Трегубова</w:t>
      </w:r>
    </w:p>
    <w:p w:rsidR="00A440A0" w:rsidRPr="00686BC0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ПРИЛОЖЕНИЕ № 1</w:t>
      </w:r>
    </w:p>
    <w:p w:rsidR="005A462E" w:rsidRPr="00686BC0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686BC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86BC0">
        <w:rPr>
          <w:color w:val="000000" w:themeColor="text1"/>
          <w:sz w:val="28"/>
          <w:szCs w:val="28"/>
        </w:rPr>
        <w:t>«</w:t>
      </w:r>
      <w:r w:rsidR="00DA5F9E" w:rsidRPr="00686BC0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686BC0">
        <w:rPr>
          <w:color w:val="000000" w:themeColor="text1"/>
          <w:sz w:val="28"/>
          <w:szCs w:val="28"/>
        </w:rPr>
        <w:t>»</w:t>
      </w:r>
    </w:p>
    <w:p w:rsidR="00591353" w:rsidRPr="00686BC0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86BC0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86BC0">
        <w:rPr>
          <w:color w:val="000000" w:themeColor="text1"/>
          <w:sz w:val="28"/>
        </w:rPr>
        <w:t xml:space="preserve">Главе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color w:val="000000" w:themeColor="text1"/>
          <w:sz w:val="28"/>
        </w:rPr>
        <w:t xml:space="preserve"> сельского</w:t>
      </w:r>
    </w:p>
    <w:p w:rsidR="00FA2A61" w:rsidRPr="00686BC0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86BC0">
        <w:rPr>
          <w:color w:val="000000" w:themeColor="text1"/>
          <w:sz w:val="28"/>
        </w:rPr>
        <w:t>поселения Славянского района</w:t>
      </w:r>
    </w:p>
    <w:p w:rsidR="00FA2A61" w:rsidRPr="00686BC0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686BC0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686BC0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ЗАЯВЛЕНИЕ</w:t>
      </w:r>
    </w:p>
    <w:p w:rsidR="00FA2A61" w:rsidRPr="00686BC0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86BC0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686BC0" w:rsidRPr="00686BC0">
        <w:rPr>
          <w:rFonts w:ascii="Times New Roman" w:hAnsi="Times New Roman"/>
          <w:color w:val="000000"/>
          <w:sz w:val="28"/>
          <w:szCs w:val="28"/>
        </w:rPr>
        <w:t>Коржевского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686BC0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686BC0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/ </w:t>
      </w: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/</w:t>
      </w:r>
    </w:p>
    <w:p w:rsidR="00566CF0" w:rsidRPr="00686BC0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86BC0">
        <w:rPr>
          <w:color w:val="000000" w:themeColor="text1"/>
          <w:sz w:val="18"/>
        </w:rPr>
        <w:tab/>
        <w:t>(Ф.И.О.)</w:t>
      </w:r>
      <w:r w:rsidRPr="00686BC0">
        <w:rPr>
          <w:color w:val="000000" w:themeColor="text1"/>
          <w:sz w:val="18"/>
        </w:rPr>
        <w:tab/>
        <w:t>(подпись заявителя)</w:t>
      </w:r>
    </w:p>
    <w:p w:rsidR="00566CF0" w:rsidRPr="00686BC0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«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» 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 20</w:t>
      </w:r>
      <w:r w:rsidRPr="00686BC0">
        <w:rPr>
          <w:i/>
          <w:color w:val="000000" w:themeColor="text1"/>
          <w:sz w:val="28"/>
          <w:szCs w:val="28"/>
          <w:u w:val="single"/>
        </w:rPr>
        <w:t>     </w:t>
      </w:r>
      <w:r w:rsidRPr="00686BC0">
        <w:rPr>
          <w:color w:val="000000" w:themeColor="text1"/>
          <w:sz w:val="28"/>
          <w:szCs w:val="28"/>
        </w:rPr>
        <w:t xml:space="preserve"> г.</w:t>
      </w:r>
    </w:p>
    <w:p w:rsidR="00FA2A61" w:rsidRPr="00686BC0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686BC0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86BC0" w:rsidRPr="00686BC0">
        <w:rPr>
          <w:rFonts w:eastAsia="Calibri"/>
          <w:color w:val="000000" w:themeColor="text1"/>
          <w:sz w:val="28"/>
          <w:szCs w:val="28"/>
        </w:rPr>
        <w:t>Л.Н.</w:t>
      </w:r>
      <w:r w:rsidRPr="00686BC0">
        <w:rPr>
          <w:rFonts w:eastAsia="Calibri"/>
          <w:color w:val="000000" w:themeColor="text1"/>
          <w:sz w:val="28"/>
          <w:szCs w:val="28"/>
        </w:rPr>
        <w:t> </w:t>
      </w:r>
      <w:r w:rsidR="00686BC0" w:rsidRPr="00686BC0">
        <w:rPr>
          <w:rFonts w:eastAsia="Calibri"/>
          <w:color w:val="000000" w:themeColor="text1"/>
          <w:sz w:val="28"/>
          <w:szCs w:val="28"/>
        </w:rPr>
        <w:t>Трегубова</w:t>
      </w:r>
    </w:p>
    <w:p w:rsidR="00591353" w:rsidRPr="00686BC0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686BC0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686BC0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86BC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686BC0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686BC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686BC0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686BC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686BC0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86BC0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86BC0">
        <w:rPr>
          <w:color w:val="000000" w:themeColor="text1"/>
          <w:sz w:val="28"/>
        </w:rPr>
        <w:t xml:space="preserve">Главе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color w:val="000000" w:themeColor="text1"/>
          <w:sz w:val="28"/>
        </w:rPr>
        <w:t xml:space="preserve"> сельского</w:t>
      </w:r>
    </w:p>
    <w:p w:rsidR="00FA2A61" w:rsidRPr="00686BC0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86BC0">
        <w:rPr>
          <w:color w:val="000000" w:themeColor="text1"/>
          <w:sz w:val="28"/>
        </w:rPr>
        <w:t>поселения Славянского района</w:t>
      </w:r>
    </w:p>
    <w:p w:rsidR="00FA2A61" w:rsidRPr="00686BC0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686BC0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686BC0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686BC0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ЗАЯВЛЕНИЕ</w:t>
      </w:r>
    </w:p>
    <w:p w:rsidR="00FA2A61" w:rsidRPr="00686BC0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86BC0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686BC0" w:rsidRPr="00686BC0">
        <w:rPr>
          <w:rFonts w:ascii="Times New Roman" w:hAnsi="Times New Roman"/>
          <w:color w:val="000000"/>
          <w:sz w:val="28"/>
          <w:szCs w:val="28"/>
        </w:rPr>
        <w:t>Коржевского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686BC0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686BC0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686BC0"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Коржевский</w:t>
      </w:r>
      <w:r w:rsidR="00FA2A61"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686BC0"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Коржевский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686BC0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86BC0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86BC0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</w:t>
      </w:r>
      <w:r w:rsidR="00FA2A61" w:rsidRPr="00686BC0">
        <w:rPr>
          <w:sz w:val="28"/>
        </w:rPr>
        <w:t xml:space="preserve">/ </w:t>
      </w: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</w:t>
      </w:r>
      <w:r w:rsidR="00FA2A61" w:rsidRPr="00686BC0">
        <w:rPr>
          <w:sz w:val="28"/>
        </w:rPr>
        <w:t>/</w:t>
      </w:r>
    </w:p>
    <w:p w:rsidR="00FA2A61" w:rsidRPr="00686BC0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86BC0">
        <w:rPr>
          <w:color w:val="000000" w:themeColor="text1"/>
          <w:sz w:val="18"/>
        </w:rPr>
        <w:tab/>
      </w:r>
      <w:r w:rsidR="00FA2A61" w:rsidRPr="00686BC0">
        <w:rPr>
          <w:color w:val="000000" w:themeColor="text1"/>
          <w:sz w:val="18"/>
        </w:rPr>
        <w:t>(Ф.И.О.)</w:t>
      </w:r>
      <w:r w:rsidR="00FA2A61" w:rsidRPr="00686BC0">
        <w:rPr>
          <w:color w:val="000000" w:themeColor="text1"/>
          <w:sz w:val="18"/>
        </w:rPr>
        <w:tab/>
        <w:t>(подпись заявителя)</w:t>
      </w:r>
    </w:p>
    <w:p w:rsidR="00FA2A61" w:rsidRPr="00686BC0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«</w:t>
      </w:r>
      <w:r w:rsidR="00566CF0" w:rsidRPr="00686BC0">
        <w:rPr>
          <w:color w:val="000000" w:themeColor="text1"/>
          <w:sz w:val="28"/>
          <w:szCs w:val="28"/>
          <w:u w:val="single"/>
        </w:rPr>
        <w:t> </w:t>
      </w:r>
      <w:r w:rsidR="00566CF0" w:rsidRPr="00686BC0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» </w:t>
      </w:r>
      <w:r w:rsidR="00566CF0" w:rsidRPr="00686BC0">
        <w:rPr>
          <w:color w:val="000000" w:themeColor="text1"/>
          <w:sz w:val="28"/>
          <w:szCs w:val="28"/>
          <w:u w:val="single"/>
        </w:rPr>
        <w:t> </w:t>
      </w:r>
      <w:r w:rsidR="00566CF0" w:rsidRPr="00686BC0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 20</w:t>
      </w:r>
      <w:r w:rsidR="00566CF0" w:rsidRPr="00686BC0">
        <w:rPr>
          <w:i/>
          <w:color w:val="000000" w:themeColor="text1"/>
          <w:sz w:val="28"/>
          <w:szCs w:val="28"/>
          <w:u w:val="single"/>
        </w:rPr>
        <w:t>21</w:t>
      </w:r>
      <w:r w:rsidRPr="00686BC0">
        <w:rPr>
          <w:color w:val="000000" w:themeColor="text1"/>
          <w:sz w:val="28"/>
          <w:szCs w:val="28"/>
        </w:rPr>
        <w:t xml:space="preserve"> г.</w:t>
      </w:r>
    </w:p>
    <w:p w:rsidR="00FA2A61" w:rsidRPr="00686BC0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686BC0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86BC0" w:rsidRPr="00686BC0">
        <w:rPr>
          <w:rFonts w:eastAsia="Calibri"/>
          <w:color w:val="000000" w:themeColor="text1"/>
          <w:sz w:val="28"/>
          <w:szCs w:val="28"/>
        </w:rPr>
        <w:t>Л.Н.</w:t>
      </w:r>
      <w:r w:rsidRPr="00686BC0">
        <w:rPr>
          <w:rFonts w:eastAsia="Calibri"/>
          <w:color w:val="000000" w:themeColor="text1"/>
          <w:sz w:val="28"/>
          <w:szCs w:val="28"/>
        </w:rPr>
        <w:t> </w:t>
      </w:r>
      <w:r w:rsidR="00686BC0" w:rsidRPr="00686BC0">
        <w:rPr>
          <w:rFonts w:eastAsia="Calibri"/>
          <w:color w:val="000000" w:themeColor="text1"/>
          <w:sz w:val="28"/>
          <w:szCs w:val="28"/>
        </w:rPr>
        <w:t>Трегубова</w:t>
      </w:r>
    </w:p>
    <w:p w:rsidR="00B209CE" w:rsidRPr="00686BC0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ПРИЛОЖЕНИЕ № 3</w:t>
      </w:r>
    </w:p>
    <w:p w:rsidR="00B209CE" w:rsidRPr="00686BC0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686BC0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686BC0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686BC0">
        <w:rPr>
          <w:color w:val="000000" w:themeColor="text1"/>
          <w:sz w:val="28"/>
          <w:szCs w:val="28"/>
        </w:rPr>
        <w:t>»</w:t>
      </w: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686BC0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686BC0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686BC0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686BC0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686BC0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686BC0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686BC0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муниципальной услуги</w:t>
      </w: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86BC0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 xml:space="preserve">Уважаемый(ая) </w:t>
      </w:r>
      <w:r w:rsidR="004B210F" w:rsidRPr="00686BC0">
        <w:rPr>
          <w:color w:val="000000" w:themeColor="text1"/>
          <w:sz w:val="28"/>
          <w:szCs w:val="28"/>
          <w:u w:val="single"/>
        </w:rPr>
        <w:tab/>
      </w:r>
      <w:r w:rsidRPr="00686BC0">
        <w:rPr>
          <w:color w:val="000000" w:themeColor="text1"/>
          <w:sz w:val="28"/>
          <w:szCs w:val="28"/>
        </w:rPr>
        <w:t>!</w:t>
      </w:r>
    </w:p>
    <w:p w:rsidR="00FA2A61" w:rsidRPr="00686BC0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686BC0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686BC0">
        <w:rPr>
          <w:color w:val="000000" w:themeColor="text1"/>
          <w:sz w:val="28"/>
          <w:szCs w:val="28"/>
          <w:u w:val="single"/>
        </w:rPr>
        <w:tab/>
      </w:r>
    </w:p>
    <w:p w:rsidR="00FA2A61" w:rsidRPr="00686BC0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 xml:space="preserve">сроком на </w:t>
      </w:r>
      <w:r w:rsidR="004B210F" w:rsidRPr="00686BC0">
        <w:rPr>
          <w:color w:val="000000" w:themeColor="text1"/>
          <w:sz w:val="28"/>
          <w:szCs w:val="28"/>
          <w:u w:val="single"/>
        </w:rPr>
        <w:tab/>
      </w:r>
      <w:r w:rsidRPr="00686BC0">
        <w:rPr>
          <w:color w:val="000000" w:themeColor="text1"/>
          <w:sz w:val="28"/>
          <w:szCs w:val="28"/>
        </w:rPr>
        <w:t xml:space="preserve"> месяцев </w:t>
      </w:r>
      <w:r w:rsidR="004B210F" w:rsidRPr="00686BC0">
        <w:rPr>
          <w:color w:val="000000" w:themeColor="text1"/>
          <w:sz w:val="28"/>
          <w:szCs w:val="28"/>
          <w:u w:val="single"/>
        </w:rPr>
        <w:tab/>
      </w:r>
      <w:r w:rsidRPr="00686BC0">
        <w:rPr>
          <w:color w:val="000000" w:themeColor="text1"/>
          <w:sz w:val="28"/>
          <w:szCs w:val="28"/>
        </w:rPr>
        <w:t>,</w:t>
      </w:r>
    </w:p>
    <w:p w:rsidR="00FA2A61" w:rsidRPr="00686BC0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686BC0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686BC0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4B210F" w:rsidRPr="00686BC0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FA2A61" w:rsidRPr="00686BC0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  <w:r w:rsidRPr="00686BC0">
        <w:rPr>
          <w:color w:val="000000" w:themeColor="text1"/>
          <w:sz w:val="28"/>
          <w:szCs w:val="28"/>
        </w:rPr>
        <w:t xml:space="preserve"> </w:t>
      </w:r>
      <w:r w:rsidR="00FA2A61" w:rsidRPr="00686BC0">
        <w:rPr>
          <w:color w:val="000000" w:themeColor="text1"/>
          <w:sz w:val="28"/>
          <w:szCs w:val="28"/>
        </w:rPr>
        <w:t>сообщаем следующее.</w:t>
      </w:r>
    </w:p>
    <w:p w:rsidR="004B210F" w:rsidRPr="00686BC0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686BC0">
        <w:rPr>
          <w:color w:val="000000" w:themeColor="text1"/>
          <w:sz w:val="28"/>
          <w:szCs w:val="28"/>
          <w:u w:val="single"/>
        </w:rPr>
        <w:tab/>
      </w:r>
    </w:p>
    <w:p w:rsidR="004B210F" w:rsidRPr="00686BC0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4B210F" w:rsidRPr="00686BC0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4B210F" w:rsidRPr="00686BC0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</w:rPr>
        <w:t xml:space="preserve">по причине </w:t>
      </w:r>
      <w:r w:rsidR="004B210F" w:rsidRPr="00686BC0">
        <w:rPr>
          <w:color w:val="000000" w:themeColor="text1"/>
          <w:sz w:val="28"/>
          <w:szCs w:val="28"/>
          <w:u w:val="single"/>
        </w:rPr>
        <w:tab/>
      </w:r>
    </w:p>
    <w:p w:rsidR="004B210F" w:rsidRPr="00686BC0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</w:p>
    <w:p w:rsidR="004B210F" w:rsidRPr="00686BC0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  <w:u w:val="single"/>
        </w:rPr>
        <w:tab/>
      </w:r>
      <w:r w:rsidRPr="00686BC0">
        <w:rPr>
          <w:color w:val="000000" w:themeColor="text1"/>
          <w:sz w:val="28"/>
          <w:szCs w:val="28"/>
        </w:rPr>
        <w:t>.</w:t>
      </w:r>
    </w:p>
    <w:p w:rsidR="00FA2A61" w:rsidRPr="00686BC0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686BC0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86BC0" w:rsidRPr="00686BC0">
        <w:rPr>
          <w:rFonts w:eastAsia="Calibri"/>
          <w:color w:val="000000" w:themeColor="text1"/>
          <w:sz w:val="28"/>
          <w:szCs w:val="28"/>
        </w:rPr>
        <w:t>Л.Н.</w:t>
      </w:r>
      <w:r w:rsidRPr="00686BC0">
        <w:rPr>
          <w:rFonts w:eastAsia="Calibri"/>
          <w:color w:val="000000" w:themeColor="text1"/>
          <w:sz w:val="28"/>
          <w:szCs w:val="28"/>
        </w:rPr>
        <w:t> </w:t>
      </w:r>
      <w:r w:rsidR="00686BC0" w:rsidRPr="00686BC0">
        <w:rPr>
          <w:rFonts w:eastAsia="Calibri"/>
          <w:color w:val="000000" w:themeColor="text1"/>
          <w:sz w:val="28"/>
          <w:szCs w:val="28"/>
        </w:rPr>
        <w:t>Трегубова</w:t>
      </w:r>
    </w:p>
    <w:p w:rsidR="00B209CE" w:rsidRPr="00686BC0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ПРИЛОЖЕНИЕ № 4</w:t>
      </w:r>
    </w:p>
    <w:p w:rsidR="00B209CE" w:rsidRPr="00686BC0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686BC0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686BC0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686BC0">
        <w:rPr>
          <w:color w:val="000000" w:themeColor="text1"/>
          <w:sz w:val="28"/>
          <w:szCs w:val="28"/>
        </w:rPr>
        <w:t>»</w:t>
      </w: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686BC0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686BC0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Директору общества</w:t>
      </w:r>
    </w:p>
    <w:p w:rsidR="00FA2A61" w:rsidRPr="00686BC0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686BC0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И.И. Иванову</w:t>
      </w:r>
    </w:p>
    <w:p w:rsidR="00FA2A61" w:rsidRPr="00686BC0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муниципальной услуги</w:t>
      </w:r>
    </w:p>
    <w:p w:rsidR="00FA2A61" w:rsidRPr="00686BC0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686BC0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86BC0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686BC0" w:rsidRPr="00686BC0">
        <w:rPr>
          <w:color w:val="000000" w:themeColor="text1"/>
          <w:sz w:val="28"/>
          <w:szCs w:val="28"/>
        </w:rPr>
        <w:t>х. Коржевский</w:t>
      </w:r>
      <w:r w:rsidRPr="00686BC0">
        <w:rPr>
          <w:color w:val="000000" w:themeColor="text1"/>
          <w:sz w:val="28"/>
          <w:szCs w:val="28"/>
        </w:rPr>
        <w:t>, ул.</w:t>
      </w:r>
      <w:r w:rsidR="0016515F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686BC0" w:rsidRPr="00686BC0">
        <w:rPr>
          <w:color w:val="000000" w:themeColor="text1"/>
          <w:sz w:val="28"/>
          <w:szCs w:val="28"/>
        </w:rPr>
        <w:t>х. Коржевский</w:t>
      </w:r>
      <w:r w:rsidRPr="00686BC0">
        <w:rPr>
          <w:color w:val="000000" w:themeColor="text1"/>
          <w:sz w:val="28"/>
          <w:szCs w:val="28"/>
        </w:rPr>
        <w:t>, ул.</w:t>
      </w:r>
      <w:r w:rsidR="0016515F" w:rsidRPr="00686BC0">
        <w:rPr>
          <w:color w:val="000000" w:themeColor="text1"/>
          <w:sz w:val="28"/>
          <w:szCs w:val="28"/>
        </w:rPr>
        <w:t> </w:t>
      </w:r>
      <w:r w:rsidRPr="00686BC0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686BC0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686BC0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86BC0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686BC0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86BC0" w:rsidRPr="00686BC0">
        <w:rPr>
          <w:color w:val="000000"/>
          <w:sz w:val="28"/>
          <w:szCs w:val="28"/>
        </w:rPr>
        <w:t>Коржевского</w:t>
      </w:r>
      <w:r w:rsidRPr="00686BC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686BC0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686BC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86BC0" w:rsidRPr="00686BC0">
        <w:rPr>
          <w:rFonts w:eastAsia="Calibri"/>
          <w:color w:val="000000" w:themeColor="text1"/>
          <w:sz w:val="28"/>
          <w:szCs w:val="28"/>
        </w:rPr>
        <w:t>Л.Н.</w:t>
      </w:r>
      <w:r w:rsidRPr="00686BC0">
        <w:rPr>
          <w:rFonts w:eastAsia="Calibri"/>
          <w:color w:val="000000" w:themeColor="text1"/>
          <w:sz w:val="28"/>
          <w:szCs w:val="28"/>
        </w:rPr>
        <w:t> </w:t>
      </w:r>
      <w:r w:rsidR="00686BC0" w:rsidRPr="00686BC0">
        <w:rPr>
          <w:rFonts w:eastAsia="Calibri"/>
          <w:color w:val="000000" w:themeColor="text1"/>
          <w:sz w:val="28"/>
          <w:szCs w:val="28"/>
        </w:rPr>
        <w:t>Трегубова</w:t>
      </w:r>
      <w:r w:rsidRPr="00686BC0">
        <w:rPr>
          <w:bCs/>
          <w:color w:val="000000" w:themeColor="text1"/>
          <w:sz w:val="28"/>
        </w:rPr>
        <w:br/>
      </w:r>
    </w:p>
    <w:sectPr w:rsidR="00632E7C" w:rsidRPr="00686BC0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9E" w:rsidRDefault="00334F9E">
      <w:r>
        <w:separator/>
      </w:r>
    </w:p>
  </w:endnote>
  <w:endnote w:type="continuationSeparator" w:id="0">
    <w:p w:rsidR="00334F9E" w:rsidRDefault="0033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9E" w:rsidRDefault="00334F9E">
      <w:r>
        <w:separator/>
      </w:r>
    </w:p>
  </w:footnote>
  <w:footnote w:type="continuationSeparator" w:id="0">
    <w:p w:rsidR="00334F9E" w:rsidRDefault="0033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B3538D" wp14:editId="08993FE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C0">
          <w:rPr>
            <w:noProof/>
          </w:rPr>
          <w:t>39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4F9E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86BC0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387B-250C-44FA-B111-D3215BA7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42</Pages>
  <Words>18383</Words>
  <Characters>104789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2021-02-17T07:29:00Z</dcterms:modified>
</cp:coreProperties>
</file>