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CF644E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16660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619A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13114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2945F7">
        <w:rPr>
          <w:b/>
          <w:sz w:val="28"/>
          <w:szCs w:val="28"/>
        </w:rPr>
        <w:t>26</w:t>
      </w:r>
      <w:r w:rsidRPr="00DA2366">
        <w:rPr>
          <w:b/>
          <w:sz w:val="28"/>
          <w:szCs w:val="28"/>
        </w:rPr>
        <w:t xml:space="preserve"> декабря 2018 года № 1</w:t>
      </w:r>
      <w:r w:rsidR="002945F7">
        <w:rPr>
          <w:b/>
          <w:sz w:val="28"/>
          <w:szCs w:val="28"/>
        </w:rPr>
        <w:t>37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619A4" w:rsidRPr="006619A4">
        <w:rPr>
          <w:sz w:val="28"/>
          <w:szCs w:val="28"/>
        </w:rPr>
        <w:t>сельского пос</w:t>
      </w:r>
      <w:r w:rsidR="006619A4" w:rsidRPr="006619A4">
        <w:rPr>
          <w:sz w:val="28"/>
          <w:szCs w:val="28"/>
        </w:rPr>
        <w:t>е</w:t>
      </w:r>
      <w:r w:rsidR="006619A4" w:rsidRPr="006619A4">
        <w:rPr>
          <w:sz w:val="28"/>
          <w:szCs w:val="28"/>
        </w:rPr>
        <w:t>ления</w:t>
      </w:r>
      <w:r w:rsidR="00313114">
        <w:rPr>
          <w:sz w:val="28"/>
          <w:szCs w:val="28"/>
        </w:rPr>
        <w:t xml:space="preserve"> Голубая Нива</w:t>
      </w:r>
      <w:r w:rsidR="006619A4" w:rsidRPr="006619A4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2945F7">
        <w:rPr>
          <w:sz w:val="28"/>
          <w:szCs w:val="28"/>
        </w:rPr>
        <w:t>26</w:t>
      </w:r>
      <w:r w:rsidR="00DA2366" w:rsidRPr="00DA2366">
        <w:rPr>
          <w:sz w:val="28"/>
          <w:szCs w:val="28"/>
        </w:rPr>
        <w:t xml:space="preserve"> декабря 2018 года № 1</w:t>
      </w:r>
      <w:r w:rsidR="002945F7">
        <w:rPr>
          <w:sz w:val="28"/>
          <w:szCs w:val="28"/>
        </w:rPr>
        <w:t>37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2945F7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2945F7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2945F7" w:rsidRDefault="002945F7" w:rsidP="002945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Глава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 сельского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D7349"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2945F7" w:rsidRDefault="002945F7" w:rsidP="002945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2945F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945F7" w:rsidRDefault="00AD7349" w:rsidP="002945F7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2945F7" w:rsidRDefault="002945F7" w:rsidP="002945F7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619A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2945F7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2945F7">
        <w:rPr>
          <w:b/>
          <w:sz w:val="28"/>
          <w:szCs w:val="28"/>
        </w:rPr>
        <w:t>26</w:t>
      </w:r>
      <w:r w:rsidRPr="00DA2366">
        <w:rPr>
          <w:b/>
          <w:sz w:val="28"/>
          <w:szCs w:val="28"/>
        </w:rPr>
        <w:t xml:space="preserve"> декабря 2018 года № 1</w:t>
      </w:r>
      <w:r w:rsidR="002945F7">
        <w:rPr>
          <w:b/>
          <w:sz w:val="28"/>
          <w:szCs w:val="28"/>
        </w:rPr>
        <w:t>37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945F7" w:rsidRPr="002945F7">
        <w:rPr>
          <w:color w:val="000000" w:themeColor="text1"/>
          <w:sz w:val="28"/>
          <w:szCs w:val="28"/>
        </w:rPr>
        <w:t>slavyansk.ru/</w:t>
      </w:r>
      <w:proofErr w:type="spellStart"/>
      <w:r w:rsidR="002945F7" w:rsidRPr="002945F7">
        <w:rPr>
          <w:color w:val="000000" w:themeColor="text1"/>
          <w:sz w:val="28"/>
          <w:szCs w:val="28"/>
        </w:rPr>
        <w:t>article</w:t>
      </w:r>
      <w:proofErr w:type="spellEnd"/>
      <w:r w:rsidR="002945F7" w:rsidRPr="002945F7">
        <w:rPr>
          <w:color w:val="000000" w:themeColor="text1"/>
          <w:sz w:val="28"/>
          <w:szCs w:val="28"/>
        </w:rPr>
        <w:t>/a-2410.html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2945F7" w:rsidRPr="002945F7">
        <w:rPr>
          <w:color w:val="000000" w:themeColor="text1"/>
          <w:sz w:val="28"/>
          <w:szCs w:val="28"/>
        </w:rPr>
        <w:t>www.gosuslugi.ru/</w:t>
      </w:r>
      <w:proofErr w:type="spellStart"/>
      <w:r w:rsidR="002945F7" w:rsidRPr="002945F7">
        <w:rPr>
          <w:color w:val="000000" w:themeColor="text1"/>
          <w:sz w:val="28"/>
          <w:szCs w:val="28"/>
        </w:rPr>
        <w:t>structure</w:t>
      </w:r>
      <w:proofErr w:type="spellEnd"/>
      <w:r w:rsidR="002945F7" w:rsidRPr="002945F7">
        <w:rPr>
          <w:color w:val="000000" w:themeColor="text1"/>
          <w:sz w:val="28"/>
          <w:szCs w:val="28"/>
        </w:rPr>
        <w:t>/2340200010003135461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2945F7" w:rsidRPr="002945F7">
        <w:rPr>
          <w:color w:val="000000" w:themeColor="text1"/>
          <w:sz w:val="28"/>
          <w:szCs w:val="28"/>
        </w:rPr>
        <w:t>pgu.krasnodar.ru/structure/detail.php?orgID=162322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Pr="006F0893">
        <w:rPr>
          <w:bCs/>
          <w:color w:val="000000" w:themeColor="text1"/>
          <w:sz w:val="28"/>
          <w:szCs w:val="28"/>
        </w:rPr>
        <w:t>сельского поселения</w:t>
      </w:r>
      <w:r w:rsidR="002945F7">
        <w:rPr>
          <w:bCs/>
          <w:color w:val="000000" w:themeColor="text1"/>
          <w:sz w:val="28"/>
          <w:szCs w:val="28"/>
        </w:rPr>
        <w:t xml:space="preserve"> Голубая Нива</w:t>
      </w:r>
      <w:r w:rsidRPr="006F0893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2945F7" w:rsidRDefault="00AD7349" w:rsidP="002945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945F7">
        <w:rPr>
          <w:rFonts w:eastAsia="Calibri"/>
          <w:color w:val="000000"/>
          <w:sz w:val="28"/>
          <w:szCs w:val="28"/>
        </w:rPr>
        <w:t xml:space="preserve">сельского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7B0212" w:rsidRPr="002945F7" w:rsidRDefault="002945F7" w:rsidP="002945F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> Славянского района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</w:t>
      </w:r>
      <w:r w:rsidR="00AD7349" w:rsidRPr="00AD734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К.И. Стригуненко</w:t>
      </w:r>
      <w:r w:rsidR="0051010A">
        <w:rPr>
          <w:sz w:val="28"/>
          <w:szCs w:val="28"/>
        </w:rPr>
        <w:br/>
      </w:r>
    </w:p>
    <w:sectPr w:rsidR="007B0212" w:rsidRPr="002945F7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52" w:rsidRDefault="00170752">
      <w:r>
        <w:separator/>
      </w:r>
    </w:p>
  </w:endnote>
  <w:endnote w:type="continuationSeparator" w:id="0">
    <w:p w:rsidR="00170752" w:rsidRDefault="0017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52" w:rsidRDefault="00170752">
      <w:r>
        <w:separator/>
      </w:r>
    </w:p>
  </w:footnote>
  <w:footnote w:type="continuationSeparator" w:id="0">
    <w:p w:rsidR="00170752" w:rsidRDefault="0017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ADB1DE" wp14:editId="2B8D465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F644E" w:rsidRPr="00CF644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660A"/>
    <w:rsid w:val="001677FF"/>
    <w:rsid w:val="00167D5E"/>
    <w:rsid w:val="00170752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5F7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05A2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114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644E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B32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DF70-3319-4EC1-BB31-8B3AB4A5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2020-05-12T12:04:00Z</cp:lastPrinted>
  <dcterms:created xsi:type="dcterms:W3CDTF">2020-05-13T08:19:00Z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