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4320C" w:rsidRPr="003D6876">
        <w:rPr>
          <w:b/>
          <w:color w:val="000000" w:themeColor="text1"/>
          <w:sz w:val="28"/>
          <w:szCs w:val="28"/>
        </w:rPr>
        <w:t>Предоставление земельного участка</w:t>
      </w:r>
      <w:r w:rsidR="003D6876" w:rsidRPr="003D6876">
        <w:rPr>
          <w:b/>
          <w:color w:val="000000" w:themeColor="text1"/>
          <w:sz w:val="28"/>
          <w:szCs w:val="28"/>
        </w:rPr>
        <w:t>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230023"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230023"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230023">
        <w:rPr>
          <w:rFonts w:eastAsia="Calibri"/>
          <w:sz w:val="28"/>
          <w:szCs w:val="28"/>
        </w:rPr>
        <w:t>Боровкова С.А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230023"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30023">
        <w:rPr>
          <w:color w:val="000000" w:themeColor="text1"/>
          <w:sz w:val="28"/>
          <w:szCs w:val="28"/>
        </w:rPr>
        <w:t>Ачуевского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</w:t>
      </w:r>
      <w:r w:rsidR="00230023">
        <w:rPr>
          <w:bCs/>
          <w:color w:val="000000" w:themeColor="text1"/>
          <w:kern w:val="32"/>
          <w:sz w:val="28"/>
          <w:szCs w:val="28"/>
          <w:lang w:eastAsia="ko-KR"/>
        </w:rPr>
        <w:t>Е.В. Теленьга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230023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84320C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230023"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230023">
        <w:rPr>
          <w:color w:val="000000" w:themeColor="text1"/>
          <w:sz w:val="28"/>
          <w:szCs w:val="28"/>
        </w:rPr>
        <w:t>Ачуе</w:t>
      </w:r>
      <w:r w:rsidR="00230023">
        <w:rPr>
          <w:color w:val="000000" w:themeColor="text1"/>
          <w:sz w:val="28"/>
          <w:szCs w:val="28"/>
        </w:rPr>
        <w:t>в</w:t>
      </w:r>
      <w:r w:rsidR="00230023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="00230023" w:rsidRPr="00230023">
        <w:rPr>
          <w:bCs/>
          <w:sz w:val="28"/>
          <w:szCs w:val="28"/>
        </w:rPr>
        <w:t>ачуевское.рф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230023">
        <w:rPr>
          <w:color w:val="000000" w:themeColor="text1"/>
          <w:sz w:val="28"/>
          <w:szCs w:val="28"/>
        </w:rPr>
        <w:t>Ачуевского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230023" w:rsidRPr="00230023">
        <w:rPr>
          <w:bCs/>
          <w:sz w:val="28"/>
          <w:szCs w:val="28"/>
        </w:rPr>
        <w:t>gosuslugi.ru/</w:t>
      </w:r>
      <w:proofErr w:type="spellStart"/>
      <w:r w:rsidR="00230023" w:rsidRPr="00230023">
        <w:rPr>
          <w:bCs/>
          <w:sz w:val="28"/>
          <w:szCs w:val="28"/>
        </w:rPr>
        <w:t>structure</w:t>
      </w:r>
      <w:proofErr w:type="spellEnd"/>
      <w:r w:rsidR="00230023" w:rsidRPr="00230023">
        <w:rPr>
          <w:bCs/>
          <w:sz w:val="28"/>
          <w:szCs w:val="28"/>
        </w:rPr>
        <w:t>/2340200010003144874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230023" w:rsidRPr="00230023">
        <w:rPr>
          <w:bCs/>
          <w:sz w:val="28"/>
          <w:szCs w:val="28"/>
        </w:rPr>
        <w:t>pgu.krasnodar.ru/</w:t>
      </w:r>
      <w:proofErr w:type="spellStart"/>
      <w:r w:rsidR="00230023" w:rsidRPr="00230023">
        <w:rPr>
          <w:bCs/>
          <w:sz w:val="28"/>
          <w:szCs w:val="28"/>
        </w:rPr>
        <w:t>structure</w:t>
      </w:r>
      <w:proofErr w:type="spellEnd"/>
      <w:r w:rsidR="00230023" w:rsidRPr="00230023">
        <w:rPr>
          <w:bCs/>
          <w:sz w:val="28"/>
          <w:szCs w:val="28"/>
        </w:rPr>
        <w:t>/</w:t>
      </w:r>
      <w:proofErr w:type="spellStart"/>
      <w:r w:rsidR="00230023" w:rsidRPr="00230023">
        <w:rPr>
          <w:bCs/>
          <w:sz w:val="28"/>
          <w:szCs w:val="28"/>
        </w:rPr>
        <w:t>detail.php?orgID</w:t>
      </w:r>
      <w:proofErr w:type="spellEnd"/>
      <w:r w:rsidR="00230023" w:rsidRPr="00230023">
        <w:rPr>
          <w:bCs/>
          <w:sz w:val="28"/>
          <w:szCs w:val="28"/>
        </w:rPr>
        <w:t>=162489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5654B8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0876E4" w:rsidRPr="000876E4">
        <w:rPr>
          <w:sz w:val="28"/>
        </w:rPr>
        <w:t>slavyansk.ru/</w:t>
      </w:r>
      <w:proofErr w:type="spellStart"/>
      <w:r w:rsidR="000876E4" w:rsidRPr="000876E4">
        <w:rPr>
          <w:sz w:val="28"/>
        </w:rPr>
        <w:t>article</w:t>
      </w:r>
      <w:proofErr w:type="spellEnd"/>
      <w:r w:rsidR="000876E4" w:rsidRPr="000876E4">
        <w:rPr>
          <w:sz w:val="28"/>
        </w:rPr>
        <w:t>/a-4786.html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230023" w:rsidRPr="00230023">
        <w:rPr>
          <w:bCs/>
          <w:sz w:val="28"/>
          <w:szCs w:val="28"/>
        </w:rPr>
        <w:t>gosuslugi.ru/</w:t>
      </w:r>
      <w:proofErr w:type="spellStart"/>
      <w:r w:rsidR="00230023" w:rsidRPr="00230023">
        <w:rPr>
          <w:bCs/>
          <w:sz w:val="28"/>
          <w:szCs w:val="28"/>
        </w:rPr>
        <w:t>structure</w:t>
      </w:r>
      <w:proofErr w:type="spellEnd"/>
      <w:r w:rsidR="00230023" w:rsidRPr="00230023">
        <w:rPr>
          <w:bCs/>
          <w:sz w:val="28"/>
          <w:szCs w:val="28"/>
        </w:rPr>
        <w:t>/2340200010003144874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230023" w:rsidRPr="00230023">
        <w:rPr>
          <w:bCs/>
          <w:sz w:val="28"/>
          <w:szCs w:val="28"/>
        </w:rPr>
        <w:t>pgu.krasnodar.ru/</w:t>
      </w:r>
      <w:proofErr w:type="spellStart"/>
      <w:r w:rsidR="00230023" w:rsidRPr="00230023">
        <w:rPr>
          <w:bCs/>
          <w:sz w:val="28"/>
          <w:szCs w:val="28"/>
        </w:rPr>
        <w:t>structure</w:t>
      </w:r>
      <w:proofErr w:type="spellEnd"/>
      <w:r w:rsidR="00230023" w:rsidRPr="00230023">
        <w:rPr>
          <w:bCs/>
          <w:sz w:val="28"/>
          <w:szCs w:val="28"/>
        </w:rPr>
        <w:t>/</w:t>
      </w:r>
      <w:r w:rsidR="00230023">
        <w:rPr>
          <w:bCs/>
          <w:sz w:val="28"/>
          <w:szCs w:val="28"/>
        </w:rPr>
        <w:t xml:space="preserve"> </w:t>
      </w:r>
      <w:proofErr w:type="spellStart"/>
      <w:r w:rsidR="00230023" w:rsidRPr="00230023">
        <w:rPr>
          <w:bCs/>
          <w:sz w:val="28"/>
          <w:szCs w:val="28"/>
        </w:rPr>
        <w:t>detail.php?orgID</w:t>
      </w:r>
      <w:proofErr w:type="spellEnd"/>
      <w:r w:rsidR="00230023" w:rsidRPr="00230023">
        <w:rPr>
          <w:bCs/>
          <w:sz w:val="28"/>
          <w:szCs w:val="28"/>
        </w:rPr>
        <w:t>=162489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5654B8">
        <w:rPr>
          <w:sz w:val="28"/>
          <w:szCs w:val="28"/>
        </w:rPr>
        <w:t>;</w:t>
      </w:r>
    </w:p>
    <w:p w:rsidR="005654B8" w:rsidRDefault="005654B8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</w:t>
      </w:r>
      <w:r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5654B8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5654B8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5654B8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5654B8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5654B8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5654B8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5654B8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5654B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также должностных лиц, муниципальных служащих, на нарушение их прав и </w:t>
      </w:r>
      <w:r w:rsidRPr="003265E7">
        <w:rPr>
          <w:sz w:val="28"/>
          <w:szCs w:val="28"/>
        </w:rPr>
        <w:lastRenderedPageBreak/>
        <w:t>законных интересов в ходе предоставления Муниципальной услуги.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5654B8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5654B8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5654B8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5654B8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3265E7">
        <w:rPr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</w:t>
      </w:r>
      <w:r w:rsidR="00B610AA" w:rsidRPr="00336BC7">
        <w:rPr>
          <w:bCs/>
          <w:sz w:val="28"/>
          <w:szCs w:val="28"/>
        </w:rPr>
        <w:t>о</w:t>
      </w:r>
      <w:r w:rsidR="00B610AA" w:rsidRPr="00336BC7">
        <w:rPr>
          <w:bCs/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="00230023" w:rsidRPr="00230023">
        <w:rPr>
          <w:bCs/>
          <w:sz w:val="28"/>
          <w:szCs w:val="28"/>
        </w:rPr>
        <w:t>ачуевское.рф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30023">
        <w:rPr>
          <w:bCs/>
          <w:sz w:val="28"/>
          <w:szCs w:val="28"/>
        </w:rPr>
        <w:t>Ачуевского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230023">
        <w:rPr>
          <w:bCs/>
          <w:sz w:val="28"/>
          <w:szCs w:val="28"/>
        </w:rPr>
        <w:t>2</w:t>
      </w:r>
      <w:r w:rsidR="00230023" w:rsidRPr="00230023">
        <w:rPr>
          <w:bCs/>
          <w:sz w:val="28"/>
          <w:szCs w:val="28"/>
        </w:rPr>
        <w:t xml:space="preserve">2 </w:t>
      </w:r>
      <w:r w:rsidR="00B610AA" w:rsidRPr="00230023">
        <w:rPr>
          <w:bCs/>
          <w:sz w:val="28"/>
          <w:szCs w:val="28"/>
        </w:rPr>
        <w:t>ноября 2018 года № </w:t>
      </w:r>
      <w:r w:rsidR="00230023" w:rsidRPr="00230023">
        <w:rPr>
          <w:bCs/>
          <w:sz w:val="28"/>
          <w:szCs w:val="28"/>
        </w:rPr>
        <w:t>130</w:t>
      </w:r>
      <w:r w:rsidR="00B610AA" w:rsidRPr="00230023">
        <w:rPr>
          <w:bCs/>
          <w:sz w:val="28"/>
          <w:szCs w:val="28"/>
        </w:rPr>
        <w:t xml:space="preserve"> «</w:t>
      </w:r>
      <w:r w:rsidR="00230023" w:rsidRPr="00230023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230023" w:rsidRPr="00230023">
        <w:rPr>
          <w:sz w:val="28"/>
          <w:szCs w:val="28"/>
        </w:rPr>
        <w:t>и</w:t>
      </w:r>
      <w:r w:rsidR="00230023" w:rsidRPr="00230023">
        <w:rPr>
          <w:sz w:val="28"/>
          <w:szCs w:val="28"/>
        </w:rPr>
        <w:t>страции Ачуевского сельского поселения Славянского района и ее должнос</w:t>
      </w:r>
      <w:r w:rsidR="00230023" w:rsidRPr="00230023">
        <w:rPr>
          <w:sz w:val="28"/>
          <w:szCs w:val="28"/>
        </w:rPr>
        <w:t>т</w:t>
      </w:r>
      <w:r w:rsidR="00230023" w:rsidRPr="00230023">
        <w:rPr>
          <w:sz w:val="28"/>
          <w:szCs w:val="28"/>
        </w:rPr>
        <w:t>ных лиц, муниципальных служащих</w:t>
      </w:r>
      <w:r w:rsidR="00B610AA" w:rsidRPr="00230023">
        <w:rPr>
          <w:bCs/>
          <w:sz w:val="28"/>
          <w:szCs w:val="28"/>
        </w:rPr>
        <w:t>»</w:t>
      </w:r>
      <w:r w:rsidRPr="00230023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3265E7">
        <w:rPr>
          <w:sz w:val="28"/>
          <w:szCs w:val="28"/>
        </w:rPr>
        <w:lastRenderedPageBreak/>
        <w:t>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5654B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5654B8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5654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5.7.1. Администрация вправе оставить жалобу без ответа в следующих </w:t>
      </w:r>
      <w:r w:rsidRPr="003265E7">
        <w:rPr>
          <w:sz w:val="28"/>
          <w:szCs w:val="28"/>
        </w:rPr>
        <w:lastRenderedPageBreak/>
        <w:t>случаях: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565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5654B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5654B8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5654B8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30023"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230023">
        <w:rPr>
          <w:rFonts w:ascii="Times New Roman" w:hAnsi="Times New Roman" w:cs="Times New Roman"/>
          <w:bCs/>
          <w:sz w:val="28"/>
          <w:szCs w:val="28"/>
        </w:rPr>
        <w:t>Е.В. Теленьга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30023">
              <w:rPr>
                <w:szCs w:val="28"/>
              </w:rPr>
              <w:t>Ачуевского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30023">
              <w:rPr>
                <w:szCs w:val="28"/>
              </w:rPr>
              <w:t>Ачуевского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30023">
              <w:rPr>
                <w:szCs w:val="28"/>
              </w:rPr>
              <w:t>Ачуевского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30023">
              <w:rPr>
                <w:szCs w:val="28"/>
              </w:rPr>
              <w:t>Ачуевского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230023" w:rsidRPr="00E92593" w:rsidRDefault="00230023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230023">
        <w:rPr>
          <w:color w:val="000000"/>
        </w:rPr>
        <w:t>Ачуевского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5654B8">
        <w:rPr>
          <w:color w:val="000000"/>
        </w:rPr>
        <w:t>А</w:t>
      </w:r>
      <w:r w:rsidR="005654B8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5654B8" w:rsidRPr="00935A5C">
        <w:rPr>
          <w:color w:val="000000"/>
        </w:rPr>
        <w:t>н</w:t>
      </w:r>
      <w:r w:rsidR="005654B8" w:rsidRPr="00935A5C">
        <w:rPr>
          <w:color w:val="000000"/>
        </w:rPr>
        <w:t>ный аукцион</w:t>
      </w:r>
      <w:r w:rsidR="005654B8" w:rsidRPr="00254AC3">
        <w:rPr>
          <w:color w:val="000000"/>
        </w:rPr>
        <w:t xml:space="preserve"> ___________________________________________</w:t>
      </w:r>
      <w:r w:rsidR="005654B8">
        <w:rPr>
          <w:color w:val="000000"/>
        </w:rPr>
        <w:t>_________</w:t>
      </w:r>
      <w:r w:rsidR="005654B8" w:rsidRPr="00254AC3">
        <w:rPr>
          <w:color w:val="000000"/>
        </w:rPr>
        <w:t>________________.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230023">
        <w:rPr>
          <w:bCs/>
          <w:szCs w:val="28"/>
        </w:rPr>
        <w:t>Ачуевского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30023">
        <w:rPr>
          <w:bCs/>
          <w:szCs w:val="28"/>
        </w:rPr>
        <w:t>Ачуевского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230023">
        <w:rPr>
          <w:bCs/>
          <w:szCs w:val="28"/>
        </w:rPr>
        <w:t>Ачуевского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30023">
        <w:rPr>
          <w:bCs/>
          <w:szCs w:val="28"/>
        </w:rPr>
        <w:t>Ачуевского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30023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bookmarkStart w:id="2" w:name="_GoBack"/>
      <w:r w:rsidR="003D6876" w:rsidRPr="003D6876">
        <w:rPr>
          <w:sz w:val="28"/>
        </w:rPr>
        <w:t>Предоставление земельного участка</w:t>
      </w:r>
      <w:bookmarkEnd w:id="2"/>
      <w:r w:rsidR="003D6876" w:rsidRPr="003D6876">
        <w:rPr>
          <w:sz w:val="28"/>
        </w:rPr>
        <w:t>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230023">
        <w:rPr>
          <w:bCs/>
          <w:szCs w:val="28"/>
        </w:rPr>
        <w:t>Ачуевского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230023" w:rsidRPr="00336BC7" w:rsidRDefault="00230023" w:rsidP="0023002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30023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230023" w:rsidP="00230023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Е.В. Теленьга</w:t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2D" w:rsidRDefault="0059682D">
      <w:r>
        <w:separator/>
      </w:r>
    </w:p>
  </w:endnote>
  <w:endnote w:type="continuationSeparator" w:id="0">
    <w:p w:rsidR="0059682D" w:rsidRDefault="0059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2D" w:rsidRDefault="0059682D">
      <w:r>
        <w:separator/>
      </w:r>
    </w:p>
  </w:footnote>
  <w:footnote w:type="continuationSeparator" w:id="0">
    <w:p w:rsidR="0059682D" w:rsidRDefault="0059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20C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6E4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0023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54B8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9682D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20C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1DFC-572A-4BC0-A593-EA54DCC0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73</Pages>
  <Words>17534</Words>
  <Characters>137394</Characters>
  <Application>Microsoft Office Word</Application>
  <DocSecurity>0</DocSecurity>
  <Lines>1144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6</cp:revision>
  <cp:lastPrinted>2022-12-21T11:05:00Z</cp:lastPrinted>
  <dcterms:created xsi:type="dcterms:W3CDTF">2023-04-01T21:40:00Z</dcterms:created>
  <dcterms:modified xsi:type="dcterms:W3CDTF">2023-04-07T07:49:00Z</dcterms:modified>
</cp:coreProperties>
</file>