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A11226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A11226" w:rsidRPr="00A11226">
        <w:rPr>
          <w:b/>
          <w:sz w:val="28"/>
          <w:szCs w:val="28"/>
        </w:rPr>
        <w:t>7</w:t>
      </w:r>
      <w:r w:rsidR="002F51D1" w:rsidRPr="00A11226">
        <w:rPr>
          <w:b/>
          <w:sz w:val="28"/>
          <w:szCs w:val="28"/>
        </w:rPr>
        <w:t xml:space="preserve"> ию</w:t>
      </w:r>
      <w:r w:rsidR="00A11226" w:rsidRPr="00A11226">
        <w:rPr>
          <w:b/>
          <w:sz w:val="28"/>
          <w:szCs w:val="28"/>
        </w:rPr>
        <w:t>л</w:t>
      </w:r>
      <w:r w:rsidR="002F51D1" w:rsidRPr="00A11226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2F51D1" w:rsidRPr="00A11226">
        <w:rPr>
          <w:b/>
          <w:sz w:val="28"/>
          <w:szCs w:val="28"/>
        </w:rPr>
        <w:t>1</w:t>
      </w:r>
      <w:r w:rsidR="00A11226" w:rsidRPr="00A11226">
        <w:rPr>
          <w:b/>
          <w:sz w:val="28"/>
          <w:szCs w:val="28"/>
        </w:rPr>
        <w:t>0</w:t>
      </w:r>
      <w:r w:rsidR="002F51D1" w:rsidRPr="00A11226">
        <w:rPr>
          <w:b/>
          <w:sz w:val="28"/>
          <w:szCs w:val="28"/>
        </w:rPr>
        <w:t>1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A11226">
        <w:rPr>
          <w:sz w:val="28"/>
          <w:szCs w:val="28"/>
        </w:rPr>
        <w:t>Ачуевского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A11226" w:rsidRPr="00A11226">
        <w:rPr>
          <w:sz w:val="28"/>
          <w:szCs w:val="28"/>
        </w:rPr>
        <w:t>7</w:t>
      </w:r>
      <w:r w:rsidR="00912205" w:rsidRPr="00A11226">
        <w:rPr>
          <w:sz w:val="28"/>
          <w:szCs w:val="28"/>
        </w:rPr>
        <w:t xml:space="preserve"> ию</w:t>
      </w:r>
      <w:r w:rsidR="00A11226" w:rsidRPr="00A11226">
        <w:rPr>
          <w:sz w:val="28"/>
          <w:szCs w:val="28"/>
        </w:rPr>
        <w:t>л</w:t>
      </w:r>
      <w:r w:rsidR="00912205" w:rsidRPr="00A11226">
        <w:rPr>
          <w:sz w:val="28"/>
          <w:szCs w:val="28"/>
        </w:rPr>
        <w:t>я 2021</w:t>
      </w:r>
      <w:r w:rsidR="00912205" w:rsidRPr="00912205">
        <w:rPr>
          <w:sz w:val="28"/>
          <w:szCs w:val="28"/>
        </w:rPr>
        <w:t xml:space="preserve"> г. № </w:t>
      </w:r>
      <w:r w:rsidR="00912205" w:rsidRPr="00A11226">
        <w:rPr>
          <w:sz w:val="28"/>
          <w:szCs w:val="28"/>
        </w:rPr>
        <w:t>1</w:t>
      </w:r>
      <w:r w:rsidR="00A11226" w:rsidRPr="00A11226">
        <w:rPr>
          <w:sz w:val="28"/>
          <w:szCs w:val="28"/>
        </w:rPr>
        <w:t>0</w:t>
      </w:r>
      <w:r w:rsidR="00912205" w:rsidRPr="00A11226">
        <w:rPr>
          <w:sz w:val="28"/>
          <w:szCs w:val="28"/>
        </w:rPr>
        <w:t>1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B90AB6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B90AB6">
        <w:rPr>
          <w:sz w:val="28"/>
          <w:szCs w:val="28"/>
          <w:highlight w:val="yellow"/>
          <w:lang w:eastAsia="ru-RU"/>
        </w:rPr>
        <w:t xml:space="preserve">2. </w:t>
      </w:r>
      <w:r w:rsidR="00A7587E" w:rsidRPr="00B90AB6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A11226" w:rsidRPr="00B90AB6">
        <w:rPr>
          <w:sz w:val="28"/>
          <w:szCs w:val="28"/>
          <w:highlight w:val="yellow"/>
        </w:rPr>
        <w:t>Ачуевского</w:t>
      </w:r>
      <w:r w:rsidR="00A7587E" w:rsidRPr="00B90AB6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A11226" w:rsidRPr="00B90AB6">
        <w:rPr>
          <w:rFonts w:eastAsia="Calibri"/>
          <w:color w:val="000000"/>
          <w:sz w:val="28"/>
          <w:szCs w:val="28"/>
          <w:highlight w:val="yellow"/>
          <w:lang w:eastAsia="en-US"/>
        </w:rPr>
        <w:t>Обертас Г.А</w:t>
      </w:r>
      <w:r w:rsidR="00A7587E" w:rsidRPr="00B90AB6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A11226" w:rsidRPr="00B90AB6">
        <w:rPr>
          <w:sz w:val="28"/>
          <w:szCs w:val="28"/>
          <w:highlight w:val="yellow"/>
        </w:rPr>
        <w:t>Ачуевского</w:t>
      </w:r>
      <w:r w:rsidR="00A7587E" w:rsidRPr="00B90AB6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B90AB6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11226">
        <w:rPr>
          <w:sz w:val="28"/>
          <w:szCs w:val="28"/>
        </w:rPr>
        <w:t>Ачуевского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</w:t>
      </w:r>
      <w:r w:rsidR="00A11226"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A11226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Ачуевского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A11226">
            <w:r>
              <w:t xml:space="preserve">платы в бюджет </w:t>
            </w:r>
            <w:r w:rsidR="00A11226">
              <w:t>Ачуевского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11226">
        <w:rPr>
          <w:sz w:val="28"/>
          <w:szCs w:val="28"/>
        </w:rPr>
        <w:t>Ачуевского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</w:t>
      </w:r>
      <w:r w:rsidR="00A11226">
        <w:rPr>
          <w:color w:val="000000" w:themeColor="text1"/>
          <w:kern w:val="32"/>
          <w:sz w:val="28"/>
          <w:szCs w:val="28"/>
          <w:lang w:eastAsia="ko-KR"/>
        </w:rPr>
        <w:t>Е.В. Теленьга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07" w:rsidRDefault="009D2707">
      <w:r>
        <w:separator/>
      </w:r>
    </w:p>
  </w:endnote>
  <w:endnote w:type="continuationSeparator" w:id="0">
    <w:p w:rsidR="009D2707" w:rsidRDefault="009D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07" w:rsidRDefault="009D2707">
      <w:r>
        <w:separator/>
      </w:r>
    </w:p>
  </w:footnote>
  <w:footnote w:type="continuationSeparator" w:id="0">
    <w:p w:rsidR="009D2707" w:rsidRDefault="009D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26" w:rsidRPr="00A11226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226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23B7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707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226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0AB6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B47C266-6F12-473B-817D-33A4C27E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F160-6D7F-4278-816C-B0C7A9C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2025-06-30T06:44:00Z</dcterms:created>
  <dcterms:modified xsi:type="dcterms:W3CDTF">2025-06-30T08:33:00Z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