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C" w:rsidRPr="00133E07" w:rsidRDefault="00A65C6C" w:rsidP="00807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A65C6C" w:rsidRPr="00133E07" w:rsidRDefault="00A65C6C" w:rsidP="00807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A5011" w:rsidRPr="00133E07">
        <w:rPr>
          <w:rFonts w:ascii="Times New Roman" w:hAnsi="Times New Roman" w:cs="Times New Roman"/>
          <w:b/>
          <w:sz w:val="28"/>
          <w:szCs w:val="28"/>
        </w:rPr>
        <w:t>Р</w:t>
      </w:r>
      <w:r w:rsidRPr="00133E07">
        <w:rPr>
          <w:rFonts w:ascii="Times New Roman" w:hAnsi="Times New Roman" w:cs="Times New Roman"/>
          <w:b/>
          <w:sz w:val="28"/>
          <w:szCs w:val="28"/>
        </w:rPr>
        <w:t xml:space="preserve">ешения Совета </w:t>
      </w:r>
      <w:proofErr w:type="spellStart"/>
      <w:r w:rsidRPr="00133E07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Славянского района «О бюджете </w:t>
      </w:r>
      <w:proofErr w:type="spellStart"/>
      <w:r w:rsidRPr="00133E07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5C6C" w:rsidRPr="00133E07" w:rsidRDefault="0080794A" w:rsidP="00807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A65C6C" w:rsidRPr="00133E0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E391D" w:rsidRPr="00133E07">
        <w:rPr>
          <w:rFonts w:ascii="Times New Roman" w:hAnsi="Times New Roman" w:cs="Times New Roman"/>
          <w:b/>
          <w:sz w:val="28"/>
          <w:szCs w:val="28"/>
        </w:rPr>
        <w:t>7</w:t>
      </w:r>
      <w:r w:rsidR="00A65C6C" w:rsidRPr="00133E0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65C6C" w:rsidRPr="00133E07" w:rsidRDefault="00A65C6C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11" w:rsidRPr="00133E07" w:rsidRDefault="00FA5011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11" w:rsidRPr="00133E07" w:rsidRDefault="00FA5011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6C" w:rsidRPr="00133E07" w:rsidRDefault="00ED478B" w:rsidP="00A65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06</w:t>
      </w:r>
      <w:r w:rsidR="00FA5011" w:rsidRPr="00133E0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65C6C" w:rsidRPr="00133E07">
        <w:rPr>
          <w:rFonts w:ascii="Times New Roman" w:hAnsi="Times New Roman" w:cs="Times New Roman"/>
          <w:sz w:val="28"/>
          <w:szCs w:val="28"/>
        </w:rPr>
        <w:t xml:space="preserve"> 201</w:t>
      </w:r>
      <w:r w:rsidRPr="00133E07">
        <w:rPr>
          <w:rFonts w:ascii="Times New Roman" w:hAnsi="Times New Roman" w:cs="Times New Roman"/>
          <w:sz w:val="28"/>
          <w:szCs w:val="28"/>
        </w:rPr>
        <w:t>6</w:t>
      </w:r>
      <w:r w:rsidR="00A65C6C" w:rsidRPr="00133E0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proofErr w:type="spellStart"/>
      <w:r w:rsidR="00A65C6C" w:rsidRPr="00133E0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="00A65C6C" w:rsidRPr="00133E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65C6C" w:rsidRPr="00133E07" w:rsidRDefault="00A65C6C" w:rsidP="00A65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A5011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 xml:space="preserve"> Славянского района                   </w:t>
      </w:r>
    </w:p>
    <w:p w:rsidR="00A65C6C" w:rsidRDefault="00A65C6C" w:rsidP="00A65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A5011" w:rsidRPr="00133E07" w:rsidRDefault="00FA5011" w:rsidP="00A65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5C6C" w:rsidRPr="00133E07" w:rsidRDefault="00A65C6C" w:rsidP="00A65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</w:p>
    <w:p w:rsidR="00FA5011" w:rsidRPr="00133E0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 (далее БК РФ); </w:t>
      </w:r>
    </w:p>
    <w:p w:rsidR="00470765" w:rsidRPr="00133E07" w:rsidRDefault="00470765" w:rsidP="00470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2016 год;</w:t>
      </w:r>
    </w:p>
    <w:p w:rsidR="00FA5011" w:rsidRPr="00133E0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FA5011" w:rsidRPr="00133E0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образования Славянский район от </w:t>
      </w:r>
      <w:r w:rsidR="00C27004" w:rsidRPr="00133E07">
        <w:rPr>
          <w:rFonts w:ascii="Times New Roman" w:hAnsi="Times New Roman" w:cs="Times New Roman"/>
          <w:sz w:val="28"/>
          <w:szCs w:val="28"/>
        </w:rPr>
        <w:t>01</w:t>
      </w:r>
      <w:r w:rsidRPr="00133E07">
        <w:rPr>
          <w:rFonts w:ascii="Times New Roman" w:hAnsi="Times New Roman" w:cs="Times New Roman"/>
          <w:sz w:val="28"/>
          <w:szCs w:val="28"/>
        </w:rPr>
        <w:t>.11.201</w:t>
      </w:r>
      <w:r w:rsidR="00C27004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>г. №</w:t>
      </w:r>
      <w:r w:rsidR="002F043B" w:rsidRPr="00133E07">
        <w:rPr>
          <w:rFonts w:ascii="Times New Roman" w:hAnsi="Times New Roman" w:cs="Times New Roman"/>
          <w:sz w:val="28"/>
          <w:szCs w:val="28"/>
        </w:rPr>
        <w:t>18</w:t>
      </w:r>
      <w:r w:rsidRPr="00133E07">
        <w:rPr>
          <w:rFonts w:ascii="Times New Roman" w:hAnsi="Times New Roman" w:cs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Славянского района на</w:t>
      </w:r>
      <w:r w:rsidR="00BF6C21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Pr="00133E07">
        <w:rPr>
          <w:rFonts w:ascii="Times New Roman" w:hAnsi="Times New Roman" w:cs="Times New Roman"/>
          <w:sz w:val="28"/>
          <w:szCs w:val="28"/>
        </w:rPr>
        <w:t xml:space="preserve"> 201</w:t>
      </w:r>
      <w:r w:rsidR="002F043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 год</w:t>
      </w:r>
      <w:r w:rsidR="002F043B" w:rsidRPr="00133E07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</w:t>
      </w:r>
      <w:r w:rsidRPr="00133E07">
        <w:rPr>
          <w:rFonts w:ascii="Times New Roman" w:hAnsi="Times New Roman" w:cs="Times New Roman"/>
          <w:sz w:val="28"/>
          <w:szCs w:val="28"/>
        </w:rPr>
        <w:t>»;</w:t>
      </w:r>
    </w:p>
    <w:p w:rsidR="00FA5011" w:rsidRPr="00133E0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Удостоверение на право проведения контрольного мероприятия от </w:t>
      </w:r>
      <w:r w:rsidR="002F043B" w:rsidRPr="00133E07">
        <w:rPr>
          <w:rFonts w:ascii="Times New Roman" w:hAnsi="Times New Roman" w:cs="Times New Roman"/>
          <w:sz w:val="28"/>
          <w:szCs w:val="28"/>
        </w:rPr>
        <w:t>01</w:t>
      </w:r>
      <w:r w:rsidRPr="00133E07">
        <w:rPr>
          <w:rFonts w:ascii="Times New Roman" w:hAnsi="Times New Roman" w:cs="Times New Roman"/>
          <w:sz w:val="28"/>
          <w:szCs w:val="28"/>
        </w:rPr>
        <w:t>.11.201</w:t>
      </w:r>
      <w:r w:rsidR="002F043B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>г. №</w:t>
      </w:r>
      <w:r w:rsidR="002F043B" w:rsidRPr="00133E07">
        <w:rPr>
          <w:rFonts w:ascii="Times New Roman" w:hAnsi="Times New Roman" w:cs="Times New Roman"/>
          <w:sz w:val="28"/>
          <w:szCs w:val="28"/>
        </w:rPr>
        <w:t>70-16</w:t>
      </w:r>
      <w:r w:rsidRPr="00133E07">
        <w:rPr>
          <w:rFonts w:ascii="Times New Roman" w:hAnsi="Times New Roman" w:cs="Times New Roman"/>
          <w:sz w:val="28"/>
          <w:szCs w:val="28"/>
        </w:rPr>
        <w:t>/ЭАМ;</w:t>
      </w:r>
    </w:p>
    <w:p w:rsidR="00FA5011" w:rsidRPr="00133E0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Контрольно-счетной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</w:t>
      </w:r>
    </w:p>
    <w:p w:rsidR="00FA5011" w:rsidRPr="00133E07" w:rsidRDefault="00FA5011" w:rsidP="00FA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>Соглашение о передаче полномочий по осуществлению внешнего муниципального финансового контроля от 22.12.2014 года №</w:t>
      </w:r>
      <w:r w:rsidR="00FE293C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, согласно Решения </w:t>
      </w:r>
      <w:r w:rsidR="0006772B">
        <w:rPr>
          <w:rFonts w:ascii="Times New Roman" w:hAnsi="Times New Roman" w:cs="Times New Roman"/>
          <w:sz w:val="28"/>
          <w:szCs w:val="28"/>
        </w:rPr>
        <w:t>четвертой</w:t>
      </w:r>
      <w:r w:rsidRPr="00133E07">
        <w:rPr>
          <w:rFonts w:ascii="Times New Roman" w:hAnsi="Times New Roman" w:cs="Times New Roman"/>
          <w:sz w:val="28"/>
          <w:szCs w:val="28"/>
        </w:rPr>
        <w:t xml:space="preserve"> сессии Совета муниципального образования Славянский район Краснодарского края от </w:t>
      </w:r>
      <w:r w:rsidR="00D87E60" w:rsidRPr="00133E07">
        <w:rPr>
          <w:rFonts w:ascii="Times New Roman" w:hAnsi="Times New Roman" w:cs="Times New Roman"/>
          <w:sz w:val="28"/>
          <w:szCs w:val="28"/>
        </w:rPr>
        <w:t>2</w:t>
      </w:r>
      <w:r w:rsidRPr="00133E07">
        <w:rPr>
          <w:rFonts w:ascii="Times New Roman" w:hAnsi="Times New Roman" w:cs="Times New Roman"/>
          <w:sz w:val="28"/>
          <w:szCs w:val="28"/>
        </w:rPr>
        <w:t>1.12.201</w:t>
      </w:r>
      <w:r w:rsidR="00D87E60" w:rsidRPr="00133E07">
        <w:rPr>
          <w:rFonts w:ascii="Times New Roman" w:hAnsi="Times New Roman" w:cs="Times New Roman"/>
          <w:sz w:val="28"/>
          <w:szCs w:val="28"/>
        </w:rPr>
        <w:t>5 №14</w:t>
      </w:r>
      <w:r w:rsidRPr="00133E07">
        <w:rPr>
          <w:rFonts w:ascii="Times New Roman" w:hAnsi="Times New Roman" w:cs="Times New Roman"/>
          <w:sz w:val="28"/>
          <w:szCs w:val="28"/>
        </w:rPr>
        <w:t xml:space="preserve"> «О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</w:t>
      </w:r>
      <w:r w:rsidR="00ED478B" w:rsidRPr="00133E07">
        <w:rPr>
          <w:rFonts w:ascii="Times New Roman" w:hAnsi="Times New Roman" w:cs="Times New Roman"/>
          <w:sz w:val="28"/>
          <w:szCs w:val="28"/>
        </w:rPr>
        <w:t>оля»;</w:t>
      </w:r>
      <w:proofErr w:type="gramEnd"/>
    </w:p>
    <w:p w:rsidR="00ED478B" w:rsidRPr="00133E07" w:rsidRDefault="00ED478B" w:rsidP="00ED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Решение девятнадцатой сессии Совета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30.10.2015 №3 «Об утверждении Положения о бюджетном процессе в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района».</w:t>
      </w:r>
    </w:p>
    <w:p w:rsidR="00FE293C" w:rsidRPr="00133E07" w:rsidRDefault="00FE293C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52" w:rsidRPr="00133E07" w:rsidRDefault="00CC3F52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52" w:rsidRPr="00133E07" w:rsidRDefault="00CC3F52" w:rsidP="00CC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 xml:space="preserve">Решение тринадцатой  сессии Совета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19.04.2016 №5  «О внесении изменений в решение девятнадцатой сессии  Совета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873A55" w:rsidRPr="00133E07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от 30 октября 2015 №3 </w:t>
      </w:r>
      <w:r w:rsidRPr="00133E0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района».</w:t>
      </w:r>
    </w:p>
    <w:p w:rsidR="00CC3F52" w:rsidRPr="00133E07" w:rsidRDefault="00CC3F52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C6C" w:rsidRPr="00133E07" w:rsidRDefault="00A65C6C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A65C6C" w:rsidRPr="00133E07" w:rsidRDefault="00A65C6C" w:rsidP="00A65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Экспертиза проекта </w:t>
      </w:r>
      <w:r w:rsidR="0080794A" w:rsidRPr="00133E0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80794A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80794A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="0080794A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80794A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CC3F52" w:rsidRPr="00133E07">
        <w:rPr>
          <w:rFonts w:ascii="Times New Roman" w:hAnsi="Times New Roman" w:cs="Times New Roman"/>
          <w:sz w:val="28"/>
          <w:szCs w:val="28"/>
        </w:rPr>
        <w:t>7</w:t>
      </w:r>
      <w:r w:rsidR="0080794A" w:rsidRPr="00133E0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на предмет соответствия отдельных статей проекта решения, а также основных характеристик бюджета Бюджетному кодексу Российской Федерации, Положению о бюджетном процессе </w:t>
      </w:r>
      <w:proofErr w:type="spellStart"/>
      <w:r w:rsidR="00067B12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>сельског</w:t>
      </w:r>
      <w:r w:rsidR="007F6089" w:rsidRPr="00133E07">
        <w:rPr>
          <w:rFonts w:ascii="Times New Roman" w:hAnsi="Times New Roman" w:cs="Times New Roman"/>
          <w:sz w:val="28"/>
          <w:szCs w:val="28"/>
        </w:rPr>
        <w:t>о поселения Славянского района.</w:t>
      </w: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Проект решения</w:t>
      </w:r>
      <w:r w:rsidR="00FE293C" w:rsidRPr="00133E0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794A" w:rsidRPr="00133E0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133E07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794A" w:rsidRPr="00133E0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133E07">
        <w:rPr>
          <w:rFonts w:ascii="Times New Roman" w:hAnsi="Times New Roman" w:cs="Times New Roman"/>
          <w:sz w:val="28"/>
          <w:szCs w:val="28"/>
        </w:rPr>
        <w:t xml:space="preserve"> на 201</w:t>
      </w:r>
      <w:r w:rsidR="00CC3F52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год», нормативно-правовые акты, регулирующие бюджетный процесс в </w:t>
      </w:r>
      <w:proofErr w:type="spellStart"/>
      <w:r w:rsidR="00267401" w:rsidRPr="00133E0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="00267401" w:rsidRPr="00133E0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33E07">
        <w:rPr>
          <w:rFonts w:ascii="Times New Roman" w:hAnsi="Times New Roman" w:cs="Times New Roman"/>
          <w:sz w:val="28"/>
          <w:szCs w:val="28"/>
        </w:rPr>
        <w:t xml:space="preserve">, в том числе по формированию доходной части бюджета, расчёты по расходным обязательствам бюджета </w:t>
      </w:r>
      <w:proofErr w:type="spellStart"/>
      <w:r w:rsidR="00267401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67401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</w:t>
      </w:r>
      <w:r w:rsidRPr="00133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133E07" w:rsidRDefault="00133E07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 (далее-</w:t>
      </w:r>
      <w:r w:rsidR="00267401" w:rsidRPr="00133E0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133E07">
        <w:rPr>
          <w:rFonts w:ascii="Times New Roman" w:hAnsi="Times New Roman" w:cs="Times New Roman"/>
          <w:sz w:val="28"/>
          <w:szCs w:val="28"/>
        </w:rPr>
        <w:t>)</w:t>
      </w: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133E07" w:rsidRDefault="00133E07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89" w:rsidRPr="00133E07" w:rsidRDefault="00267401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Инспектор</w:t>
      </w:r>
      <w:r w:rsidR="007F6089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>к</w:t>
      </w:r>
      <w:r w:rsidR="007F6089" w:rsidRPr="00133E0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Славянский район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Анализируемый период:</w:t>
      </w:r>
      <w:r w:rsidRPr="00133E07">
        <w:rPr>
          <w:rFonts w:ascii="Times New Roman" w:hAnsi="Times New Roman" w:cs="Times New Roman"/>
          <w:sz w:val="28"/>
          <w:szCs w:val="28"/>
        </w:rPr>
        <w:t>201</w:t>
      </w:r>
      <w:r w:rsidR="00CC3F52" w:rsidRPr="00133E07">
        <w:rPr>
          <w:rFonts w:ascii="Times New Roman" w:hAnsi="Times New Roman" w:cs="Times New Roman"/>
          <w:sz w:val="28"/>
          <w:szCs w:val="28"/>
        </w:rPr>
        <w:t>5</w:t>
      </w:r>
      <w:r w:rsidR="00267401" w:rsidRPr="00133E07">
        <w:rPr>
          <w:rFonts w:ascii="Times New Roman" w:hAnsi="Times New Roman" w:cs="Times New Roman"/>
          <w:sz w:val="28"/>
          <w:szCs w:val="28"/>
        </w:rPr>
        <w:t>-201</w:t>
      </w:r>
      <w:r w:rsidR="00CC3F52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346751" w:rsidRPr="00133E07" w:rsidRDefault="00346751" w:rsidP="007F6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94" w:rsidRPr="00133E07" w:rsidRDefault="005D4394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401" w:rsidRPr="00133E0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>Организация бюджетного процесса сельского поселения по составлению бюджета на 201</w:t>
      </w:r>
      <w:r w:rsidR="00B52F7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Бюджетном процессе в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утверждённого решением девятнадцатой сессии Совета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</w:t>
      </w:r>
      <w:r w:rsidR="00B52F7B" w:rsidRPr="00133E07">
        <w:rPr>
          <w:rFonts w:ascii="Times New Roman" w:hAnsi="Times New Roman" w:cs="Times New Roman"/>
          <w:sz w:val="28"/>
          <w:szCs w:val="28"/>
        </w:rPr>
        <w:t xml:space="preserve">кого района от 30.10.2015 №3, с учетом внесенных изменений </w:t>
      </w:r>
      <w:r w:rsidR="00B52F7B" w:rsidRPr="00133E07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тринадцатой  сессии Совета </w:t>
      </w:r>
      <w:proofErr w:type="spellStart"/>
      <w:r w:rsidR="00B52F7B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B52F7B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B52F7B" w:rsidRPr="00133E07">
        <w:rPr>
          <w:rFonts w:ascii="Times New Roman" w:hAnsi="Times New Roman" w:cs="Times New Roman"/>
          <w:sz w:val="28"/>
          <w:szCs w:val="28"/>
        </w:rPr>
        <w:t xml:space="preserve"> Славянского района от 19.04.2016 №5.  </w:t>
      </w:r>
    </w:p>
    <w:p w:rsidR="00B52F7B" w:rsidRPr="00133E07" w:rsidRDefault="00B52F7B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401" w:rsidRPr="00133E0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2C13FC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E07">
        <w:rPr>
          <w:rFonts w:ascii="Times New Roman" w:hAnsi="Times New Roman" w:cs="Times New Roman"/>
          <w:sz w:val="28"/>
          <w:szCs w:val="28"/>
        </w:rPr>
        <w:t xml:space="preserve"> на 201</w:t>
      </w:r>
      <w:r w:rsidR="00B52F7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267401" w:rsidRPr="00133E07" w:rsidRDefault="00B52F7B" w:rsidP="00B5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401" w:rsidRPr="00133E07">
        <w:rPr>
          <w:rFonts w:ascii="Times New Roman" w:hAnsi="Times New Roman" w:cs="Times New Roman"/>
          <w:sz w:val="28"/>
          <w:szCs w:val="28"/>
        </w:rPr>
        <w:t>-Бюджетного кодекса Российской Федерации;</w:t>
      </w:r>
    </w:p>
    <w:p w:rsidR="00267401" w:rsidRPr="00133E0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-Федерального зако</w:t>
      </w:r>
      <w:r w:rsidR="00B52F7B" w:rsidRPr="00133E07">
        <w:rPr>
          <w:rFonts w:ascii="Times New Roman" w:hAnsi="Times New Roman" w:cs="Times New Roman"/>
          <w:sz w:val="28"/>
          <w:szCs w:val="28"/>
        </w:rPr>
        <w:t>на от 06.10.2003 №131-</w:t>
      </w:r>
      <w:r w:rsidRPr="00133E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267401" w:rsidRPr="00133E0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-прогноза социально-экономического развития сельского поселения на 201</w:t>
      </w:r>
      <w:r w:rsidR="00B52F7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67401" w:rsidRPr="00133E07" w:rsidRDefault="00267401" w:rsidP="002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-основных направлений бюджетной и налоговой политики </w:t>
      </w:r>
      <w:r w:rsidR="00B52F7B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E07">
        <w:rPr>
          <w:rFonts w:ascii="Times New Roman" w:hAnsi="Times New Roman" w:cs="Times New Roman"/>
          <w:sz w:val="28"/>
          <w:szCs w:val="28"/>
        </w:rPr>
        <w:t xml:space="preserve"> на 201</w:t>
      </w:r>
      <w:r w:rsidR="00B52F7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год, утверждённых Постановлением администрации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0</w:t>
      </w:r>
      <w:r w:rsidR="001F0B78" w:rsidRPr="00133E07">
        <w:rPr>
          <w:rFonts w:ascii="Times New Roman" w:hAnsi="Times New Roman" w:cs="Times New Roman"/>
          <w:sz w:val="28"/>
          <w:szCs w:val="28"/>
        </w:rPr>
        <w:t>1</w:t>
      </w:r>
      <w:r w:rsidRPr="00133E07">
        <w:rPr>
          <w:rFonts w:ascii="Times New Roman" w:hAnsi="Times New Roman" w:cs="Times New Roman"/>
          <w:sz w:val="28"/>
          <w:szCs w:val="28"/>
        </w:rPr>
        <w:t>.11.201</w:t>
      </w:r>
      <w:r w:rsidR="001F0B78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№</w:t>
      </w:r>
      <w:r w:rsidR="001F0B78" w:rsidRPr="00133E07">
        <w:rPr>
          <w:rFonts w:ascii="Times New Roman" w:hAnsi="Times New Roman" w:cs="Times New Roman"/>
          <w:sz w:val="28"/>
          <w:szCs w:val="28"/>
        </w:rPr>
        <w:t>269</w:t>
      </w:r>
      <w:r w:rsidRPr="00133E07">
        <w:rPr>
          <w:rFonts w:ascii="Times New Roman" w:hAnsi="Times New Roman" w:cs="Times New Roman"/>
          <w:sz w:val="28"/>
          <w:szCs w:val="28"/>
        </w:rPr>
        <w:t xml:space="preserve"> «Об утверждении основных направлений бюджетной и налоговой политики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1F0B78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F0B78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>-201</w:t>
      </w:r>
      <w:r w:rsidR="001F0B78" w:rsidRPr="00133E07">
        <w:rPr>
          <w:rFonts w:ascii="Times New Roman" w:hAnsi="Times New Roman" w:cs="Times New Roman"/>
          <w:sz w:val="28"/>
          <w:szCs w:val="28"/>
        </w:rPr>
        <w:t>9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</w:t>
      </w:r>
      <w:r w:rsidR="001F0B78" w:rsidRPr="00133E07">
        <w:rPr>
          <w:rFonts w:ascii="Times New Roman" w:hAnsi="Times New Roman" w:cs="Times New Roman"/>
          <w:sz w:val="28"/>
          <w:szCs w:val="28"/>
        </w:rPr>
        <w:t>ов</w:t>
      </w:r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5D4394" w:rsidRPr="00133E0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При разработке проекта бюджета использовались данные реестра расходных обязательств </w:t>
      </w:r>
      <w:r w:rsidR="002122B9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E07">
        <w:rPr>
          <w:rFonts w:ascii="Times New Roman" w:hAnsi="Times New Roman" w:cs="Times New Roman"/>
          <w:sz w:val="28"/>
          <w:szCs w:val="28"/>
        </w:rPr>
        <w:t>, что соответствует требованиям ст. 87 Бюджетного кодекса РФ.</w:t>
      </w:r>
    </w:p>
    <w:p w:rsidR="00F825FC" w:rsidRPr="00133E0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Состав документов и 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материалов, представляемых одновременно с проектом бюджета на 201</w:t>
      </w:r>
      <w:r w:rsidR="001F0B78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</w:t>
      </w:r>
      <w:r w:rsidR="00F825FC" w:rsidRPr="00133E07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="00F825FC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 xml:space="preserve">перечню документов и материалов, определённых ст.184.2 Бюджетного кодекса РФ </w:t>
      </w:r>
    </w:p>
    <w:p w:rsidR="005D4394" w:rsidRPr="00133E0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основные хар</w:t>
      </w:r>
      <w:r w:rsidR="004511CA" w:rsidRPr="00133E07">
        <w:rPr>
          <w:rFonts w:ascii="Times New Roman" w:hAnsi="Times New Roman" w:cs="Times New Roman"/>
          <w:sz w:val="28"/>
          <w:szCs w:val="28"/>
        </w:rPr>
        <w:t>а</w:t>
      </w:r>
      <w:r w:rsidRPr="00133E07">
        <w:rPr>
          <w:rFonts w:ascii="Times New Roman" w:hAnsi="Times New Roman" w:cs="Times New Roman"/>
          <w:sz w:val="28"/>
          <w:szCs w:val="28"/>
        </w:rPr>
        <w:t>ктеристики бюджета на 201</w:t>
      </w:r>
      <w:r w:rsidR="001F0B78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год, а именно: </w:t>
      </w:r>
    </w:p>
    <w:p w:rsidR="005D4394" w:rsidRPr="00133E0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-общий объ</w:t>
      </w:r>
      <w:r w:rsidR="004349B4" w:rsidRPr="00133E07">
        <w:rPr>
          <w:rFonts w:ascii="Times New Roman" w:hAnsi="Times New Roman" w:cs="Times New Roman"/>
          <w:sz w:val="28"/>
          <w:szCs w:val="28"/>
        </w:rPr>
        <w:t>ём доходов бюджета-</w:t>
      </w:r>
      <w:r w:rsidR="002A31AC" w:rsidRPr="00133E07">
        <w:rPr>
          <w:rFonts w:ascii="Times New Roman" w:hAnsi="Times New Roman" w:cs="Times New Roman"/>
          <w:sz w:val="28"/>
          <w:szCs w:val="28"/>
        </w:rPr>
        <w:t>9319,0</w:t>
      </w:r>
      <w:r w:rsidR="004349B4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B4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49B4" w:rsidRPr="00133E07">
        <w:rPr>
          <w:rFonts w:ascii="Times New Roman" w:hAnsi="Times New Roman" w:cs="Times New Roman"/>
          <w:sz w:val="28"/>
          <w:szCs w:val="28"/>
        </w:rPr>
        <w:t>.</w:t>
      </w:r>
      <w:r w:rsidR="001A7987" w:rsidRPr="00133E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7987" w:rsidRPr="00133E07">
        <w:rPr>
          <w:rFonts w:ascii="Times New Roman" w:hAnsi="Times New Roman" w:cs="Times New Roman"/>
          <w:sz w:val="28"/>
          <w:szCs w:val="28"/>
        </w:rPr>
        <w:t>уб</w:t>
      </w:r>
      <w:r w:rsidR="002122B9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A7987" w:rsidRPr="00133E07">
        <w:rPr>
          <w:rFonts w:ascii="Times New Roman" w:hAnsi="Times New Roman" w:cs="Times New Roman"/>
          <w:sz w:val="28"/>
          <w:szCs w:val="28"/>
        </w:rPr>
        <w:t>;</w:t>
      </w:r>
    </w:p>
    <w:p w:rsidR="005D4394" w:rsidRPr="00133E07" w:rsidRDefault="00EB7A4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</w:t>
      </w:r>
      <w:r w:rsidR="004511CA" w:rsidRPr="00133E07">
        <w:rPr>
          <w:rFonts w:ascii="Times New Roman" w:hAnsi="Times New Roman" w:cs="Times New Roman"/>
          <w:sz w:val="28"/>
          <w:szCs w:val="28"/>
        </w:rPr>
        <w:t>о</w:t>
      </w:r>
      <w:r w:rsidR="005D4394" w:rsidRPr="00133E07">
        <w:rPr>
          <w:rFonts w:ascii="Times New Roman" w:hAnsi="Times New Roman" w:cs="Times New Roman"/>
          <w:sz w:val="28"/>
          <w:szCs w:val="28"/>
        </w:rPr>
        <w:t>бщий объё</w:t>
      </w:r>
      <w:r w:rsidR="001A7987" w:rsidRPr="00133E07">
        <w:rPr>
          <w:rFonts w:ascii="Times New Roman" w:hAnsi="Times New Roman" w:cs="Times New Roman"/>
          <w:sz w:val="28"/>
          <w:szCs w:val="28"/>
        </w:rPr>
        <w:t xml:space="preserve">м расходов </w:t>
      </w:r>
      <w:r w:rsidR="004349B4" w:rsidRPr="00133E07">
        <w:rPr>
          <w:rFonts w:ascii="Times New Roman" w:hAnsi="Times New Roman" w:cs="Times New Roman"/>
          <w:sz w:val="28"/>
          <w:szCs w:val="28"/>
        </w:rPr>
        <w:t>бюджета</w:t>
      </w:r>
      <w:r w:rsidR="001A7987" w:rsidRPr="00133E07">
        <w:rPr>
          <w:rFonts w:ascii="Times New Roman" w:hAnsi="Times New Roman" w:cs="Times New Roman"/>
          <w:sz w:val="28"/>
          <w:szCs w:val="28"/>
        </w:rPr>
        <w:t>-</w:t>
      </w:r>
      <w:r w:rsidR="002A31AC" w:rsidRPr="00133E07">
        <w:rPr>
          <w:rFonts w:ascii="Times New Roman" w:hAnsi="Times New Roman" w:cs="Times New Roman"/>
          <w:sz w:val="28"/>
          <w:szCs w:val="28"/>
        </w:rPr>
        <w:t>9319,0</w:t>
      </w:r>
      <w:r w:rsidR="004349B4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B4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49B4" w:rsidRPr="00133E07">
        <w:rPr>
          <w:rFonts w:ascii="Times New Roman" w:hAnsi="Times New Roman" w:cs="Times New Roman"/>
          <w:sz w:val="28"/>
          <w:szCs w:val="28"/>
        </w:rPr>
        <w:t>.</w:t>
      </w:r>
      <w:r w:rsidR="001A7987" w:rsidRPr="00133E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7987" w:rsidRPr="00133E07">
        <w:rPr>
          <w:rFonts w:ascii="Times New Roman" w:hAnsi="Times New Roman" w:cs="Times New Roman"/>
          <w:sz w:val="28"/>
          <w:szCs w:val="28"/>
        </w:rPr>
        <w:t>уб</w:t>
      </w:r>
      <w:r w:rsidR="002122B9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5D4394" w:rsidRPr="00133E07">
        <w:rPr>
          <w:rFonts w:ascii="Times New Roman" w:hAnsi="Times New Roman" w:cs="Times New Roman"/>
          <w:sz w:val="28"/>
          <w:szCs w:val="28"/>
        </w:rPr>
        <w:t>;</w:t>
      </w:r>
    </w:p>
    <w:p w:rsidR="005D4394" w:rsidRPr="00133E0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</w:t>
      </w:r>
      <w:r w:rsidR="004349B4" w:rsidRPr="00133E07">
        <w:rPr>
          <w:rFonts w:ascii="Times New Roman" w:hAnsi="Times New Roman" w:cs="Times New Roman"/>
          <w:sz w:val="28"/>
          <w:szCs w:val="28"/>
        </w:rPr>
        <w:t>дефицит бюджета-</w:t>
      </w:r>
      <w:r w:rsidR="00BC7DDE" w:rsidRPr="00133E07">
        <w:rPr>
          <w:rFonts w:ascii="Times New Roman" w:hAnsi="Times New Roman" w:cs="Times New Roman"/>
          <w:sz w:val="28"/>
          <w:szCs w:val="28"/>
        </w:rPr>
        <w:t>0</w:t>
      </w:r>
      <w:r w:rsidR="00A5509E" w:rsidRPr="00133E07">
        <w:rPr>
          <w:rFonts w:ascii="Times New Roman" w:hAnsi="Times New Roman" w:cs="Times New Roman"/>
          <w:sz w:val="28"/>
          <w:szCs w:val="28"/>
        </w:rPr>
        <w:t>,0</w:t>
      </w:r>
      <w:r w:rsidR="006E542D" w:rsidRPr="00133E0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122B9" w:rsidRPr="00133E07">
        <w:rPr>
          <w:rFonts w:ascii="Times New Roman" w:hAnsi="Times New Roman" w:cs="Times New Roman"/>
          <w:sz w:val="28"/>
          <w:szCs w:val="28"/>
        </w:rPr>
        <w:t>лей</w:t>
      </w:r>
      <w:r w:rsidR="006E542D" w:rsidRPr="00133E07">
        <w:rPr>
          <w:rFonts w:ascii="Times New Roman" w:hAnsi="Times New Roman" w:cs="Times New Roman"/>
          <w:sz w:val="28"/>
          <w:szCs w:val="28"/>
        </w:rPr>
        <w:t>.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соответствии с требованиями п.3 ст.184.1 Бюджетного кодекса РФ, проектом решения о бюджете сельского поселения установлены: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-верхний предел муниципального долга по состоянию на 1 января 201</w:t>
      </w:r>
      <w:r w:rsidR="002A31AC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года, в том числе верхний предел долга по муниципальным гарантиям; 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-перечень муниципальных программ.</w:t>
      </w:r>
    </w:p>
    <w:p w:rsidR="005D4394" w:rsidRPr="00133E07" w:rsidRDefault="005D439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так же установлен размер резервного фонда администрации </w:t>
      </w:r>
      <w:r w:rsidR="002A31AC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2300" w:rsidRPr="00133E07">
        <w:rPr>
          <w:rFonts w:ascii="Times New Roman" w:hAnsi="Times New Roman" w:cs="Times New Roman"/>
          <w:sz w:val="28"/>
          <w:szCs w:val="28"/>
        </w:rPr>
        <w:t xml:space="preserve"> на 201</w:t>
      </w:r>
      <w:r w:rsidR="002A31AC" w:rsidRPr="00133E07">
        <w:rPr>
          <w:rFonts w:ascii="Times New Roman" w:hAnsi="Times New Roman" w:cs="Times New Roman"/>
          <w:sz w:val="28"/>
          <w:szCs w:val="28"/>
        </w:rPr>
        <w:t>7</w:t>
      </w:r>
      <w:r w:rsidR="004349B4" w:rsidRPr="00133E07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A31AC" w:rsidRPr="00133E07">
        <w:rPr>
          <w:rFonts w:ascii="Times New Roman" w:hAnsi="Times New Roman" w:cs="Times New Roman"/>
          <w:sz w:val="28"/>
          <w:szCs w:val="28"/>
        </w:rPr>
        <w:t>1</w:t>
      </w:r>
      <w:r w:rsidR="004349B4"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349B4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349B4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49B4" w:rsidRPr="00133E07">
        <w:rPr>
          <w:rFonts w:ascii="Times New Roman" w:hAnsi="Times New Roman" w:cs="Times New Roman"/>
          <w:sz w:val="28"/>
          <w:szCs w:val="28"/>
        </w:rPr>
        <w:t>уб</w:t>
      </w:r>
      <w:r w:rsidR="002122B9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102300" w:rsidRPr="00133E07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133E07">
        <w:rPr>
          <w:rFonts w:ascii="Times New Roman" w:hAnsi="Times New Roman" w:cs="Times New Roman"/>
          <w:sz w:val="28"/>
          <w:szCs w:val="28"/>
        </w:rPr>
        <w:t>ст.81 Бюджетного кодекса РФ.</w:t>
      </w:r>
    </w:p>
    <w:p w:rsidR="002122B9" w:rsidRPr="00133E07" w:rsidRDefault="002122B9" w:rsidP="002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Общий объём межбюджетных трансфертов, предоставляемых другим бюджетам бюджетной системы Российской Федерации на 201</w:t>
      </w:r>
      <w:r w:rsidR="002A31AC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составит -  </w:t>
      </w:r>
      <w:r w:rsidR="009C6354" w:rsidRPr="00133E07">
        <w:rPr>
          <w:rFonts w:ascii="Times New Roman" w:hAnsi="Times New Roman" w:cs="Times New Roman"/>
          <w:sz w:val="28"/>
          <w:szCs w:val="28"/>
        </w:rPr>
        <w:t>47,4</w:t>
      </w:r>
      <w:r w:rsidR="001A63E4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4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A63E4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63E4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A63E4" w:rsidRPr="00133E07">
        <w:rPr>
          <w:rFonts w:ascii="Times New Roman" w:hAnsi="Times New Roman" w:cs="Times New Roman"/>
          <w:sz w:val="28"/>
          <w:szCs w:val="28"/>
        </w:rPr>
        <w:t>.</w:t>
      </w:r>
    </w:p>
    <w:p w:rsidR="005C3BF8" w:rsidRPr="00133E07" w:rsidRDefault="005C3BF8" w:rsidP="005C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трансфертов, получаемых из других бюджетов бюджетной системы РФ на 2016 год – 1513,0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5C3BF8" w:rsidRPr="00133E07" w:rsidRDefault="005C3BF8" w:rsidP="005C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публично-нормативных обязательств установлен в сумме 100,0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(п.3 ст. 184 БК РФ).</w:t>
      </w:r>
    </w:p>
    <w:p w:rsidR="00F25A16" w:rsidRPr="00133E07" w:rsidRDefault="00F25A16" w:rsidP="00F2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proofErr w:type="spellStart"/>
      <w:r w:rsidR="00544431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 в сумме 1524,0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7F6089" w:rsidRPr="00133E07" w:rsidRDefault="007F6089" w:rsidP="007F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F25A16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122B9" w:rsidRPr="00133E07">
        <w:rPr>
          <w:rFonts w:ascii="Times New Roman" w:hAnsi="Times New Roman" w:cs="Times New Roman"/>
          <w:sz w:val="28"/>
          <w:szCs w:val="28"/>
        </w:rPr>
        <w:t>4</w:t>
      </w:r>
      <w:r w:rsidR="00F25A16" w:rsidRPr="00133E07">
        <w:rPr>
          <w:rFonts w:ascii="Times New Roman" w:hAnsi="Times New Roman" w:cs="Times New Roman"/>
          <w:sz w:val="28"/>
          <w:szCs w:val="28"/>
        </w:rPr>
        <w:t>9</w:t>
      </w:r>
      <w:r w:rsidR="002122B9" w:rsidRPr="00133E07">
        <w:rPr>
          <w:rFonts w:ascii="Times New Roman" w:hAnsi="Times New Roman" w:cs="Times New Roman"/>
          <w:sz w:val="28"/>
          <w:szCs w:val="28"/>
        </w:rPr>
        <w:t>80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</w:t>
      </w:r>
      <w:r w:rsidR="002122B9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, который не превышает предельного объема муниципального долга (п.3 ст.107 БК РФ),в том числе по муниципальным гарантиям муниципального образовани</w:t>
      </w:r>
      <w:r w:rsidR="002122B9" w:rsidRPr="00133E07">
        <w:rPr>
          <w:rFonts w:ascii="Times New Roman" w:hAnsi="Times New Roman" w:cs="Times New Roman"/>
          <w:sz w:val="28"/>
          <w:szCs w:val="28"/>
        </w:rPr>
        <w:t>я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122B9" w:rsidRPr="00133E07">
        <w:rPr>
          <w:rFonts w:ascii="Times New Roman" w:hAnsi="Times New Roman" w:cs="Times New Roman"/>
          <w:sz w:val="28"/>
          <w:szCs w:val="28"/>
        </w:rPr>
        <w:t xml:space="preserve">Славянского района в сумме </w:t>
      </w:r>
      <w:r w:rsidRPr="00133E07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.(ст.111 БК РФ).</w:t>
      </w:r>
    </w:p>
    <w:p w:rsidR="00EA2237" w:rsidRPr="00133E07" w:rsidRDefault="00EA2237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A3" w:rsidRPr="00133E07" w:rsidRDefault="00A768A3" w:rsidP="00A7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Оценка социально – экономического развития</w:t>
      </w:r>
    </w:p>
    <w:p w:rsidR="00A768A3" w:rsidRPr="00133E07" w:rsidRDefault="00A768A3" w:rsidP="00A7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68A3" w:rsidRPr="00133E07" w:rsidRDefault="00A768A3" w:rsidP="00A7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972E2" w:rsidRPr="00133E07">
        <w:rPr>
          <w:rFonts w:ascii="Times New Roman" w:hAnsi="Times New Roman" w:cs="Times New Roman"/>
          <w:sz w:val="28"/>
          <w:szCs w:val="28"/>
        </w:rPr>
        <w:t>а</w:t>
      </w:r>
      <w:r w:rsidRPr="00133E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C972E2" w:rsidRPr="00133E07">
        <w:rPr>
          <w:rFonts w:ascii="Times New Roman" w:hAnsi="Times New Roman" w:cs="Times New Roman"/>
          <w:sz w:val="28"/>
          <w:szCs w:val="28"/>
        </w:rPr>
        <w:t>01</w:t>
      </w:r>
      <w:r w:rsidRPr="00133E07">
        <w:rPr>
          <w:rFonts w:ascii="Times New Roman" w:hAnsi="Times New Roman" w:cs="Times New Roman"/>
          <w:sz w:val="28"/>
          <w:szCs w:val="28"/>
        </w:rPr>
        <w:t>.11.201</w:t>
      </w:r>
      <w:r w:rsidR="00C972E2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№</w:t>
      </w:r>
      <w:r w:rsidR="00C972E2" w:rsidRPr="00133E07">
        <w:rPr>
          <w:rFonts w:ascii="Times New Roman" w:hAnsi="Times New Roman" w:cs="Times New Roman"/>
          <w:sz w:val="28"/>
          <w:szCs w:val="28"/>
        </w:rPr>
        <w:t>267</w:t>
      </w:r>
      <w:r w:rsidRPr="00133E07"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 </w:t>
      </w:r>
      <w:proofErr w:type="spellStart"/>
      <w:r w:rsidR="00C263AB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C263AB" w:rsidRPr="001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133E07">
        <w:rPr>
          <w:rFonts w:ascii="Times New Roman" w:hAnsi="Times New Roman" w:cs="Times New Roman"/>
          <w:sz w:val="28"/>
          <w:szCs w:val="28"/>
        </w:rPr>
        <w:t>201</w:t>
      </w:r>
      <w:r w:rsidR="00C263AB" w:rsidRPr="00133E07">
        <w:rPr>
          <w:rFonts w:ascii="Times New Roman" w:hAnsi="Times New Roman" w:cs="Times New Roman"/>
          <w:sz w:val="28"/>
          <w:szCs w:val="28"/>
        </w:rPr>
        <w:t>7-201</w:t>
      </w:r>
      <w:r w:rsidR="00C972E2" w:rsidRPr="00133E07">
        <w:rPr>
          <w:rFonts w:ascii="Times New Roman" w:hAnsi="Times New Roman" w:cs="Times New Roman"/>
          <w:sz w:val="28"/>
          <w:szCs w:val="28"/>
        </w:rPr>
        <w:t>9 годы</w:t>
      </w:r>
      <w:r w:rsidRPr="00133E07">
        <w:rPr>
          <w:rFonts w:ascii="Times New Roman" w:hAnsi="Times New Roman" w:cs="Times New Roman"/>
          <w:sz w:val="28"/>
          <w:szCs w:val="28"/>
        </w:rPr>
        <w:t xml:space="preserve">» утвержден среднесрочный финансовый план </w:t>
      </w:r>
      <w:proofErr w:type="spellStart"/>
      <w:r w:rsidR="00C263AB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C972E2" w:rsidRPr="00133E07">
        <w:rPr>
          <w:rFonts w:ascii="Times New Roman" w:hAnsi="Times New Roman" w:cs="Times New Roman"/>
          <w:sz w:val="28"/>
          <w:szCs w:val="28"/>
        </w:rPr>
        <w:t>7-2019</w:t>
      </w:r>
      <w:r w:rsidR="00C263AB" w:rsidRPr="00133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972E2" w:rsidRPr="00133E07">
        <w:rPr>
          <w:rFonts w:ascii="Times New Roman" w:hAnsi="Times New Roman" w:cs="Times New Roman"/>
          <w:sz w:val="28"/>
          <w:szCs w:val="28"/>
        </w:rPr>
        <w:t>ы</w:t>
      </w:r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План утвержден в соответствии со ст.174 Бюджетного кодекса РФ, в целях информирования представительного органа </w:t>
      </w:r>
      <w:r w:rsidR="00C263AB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E07">
        <w:rPr>
          <w:rFonts w:ascii="Times New Roman" w:hAnsi="Times New Roman" w:cs="Times New Roman"/>
          <w:sz w:val="28"/>
          <w:szCs w:val="28"/>
        </w:rPr>
        <w:t xml:space="preserve"> о предполагаемых среднесрочных тенденциях развития экономики и социальной сферы, комплексного прогнозирования финансовых последствий разрабатываемых реформ, программ, выявления необходимости и возможности осуществления в перспективе мер в области финансовой политики, отслеживание долгосрочных негативных тенденций и своевременного 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 xml:space="preserve"> соответствующих мер. </w:t>
      </w:r>
    </w:p>
    <w:p w:rsidR="00C263AB" w:rsidRPr="00133E07" w:rsidRDefault="00C263AB" w:rsidP="00C263AB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C972E2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972E2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 – 201</w:t>
      </w:r>
      <w:r w:rsidR="00C972E2" w:rsidRPr="00133E07">
        <w:rPr>
          <w:rFonts w:ascii="Times New Roman" w:hAnsi="Times New Roman" w:cs="Times New Roman"/>
          <w:sz w:val="28"/>
          <w:szCs w:val="28"/>
        </w:rPr>
        <w:t>9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годов разработан с учетом  анализа социально-экономического развития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района, а также прогнозов, полученных от  ведущих предприятий, расположенных на территории поселения, с учетом оценки негативного влияния мирового кризиса, результатов от реализации антикризисных мер, направленных на оздоровление экономики поселения.</w:t>
      </w:r>
      <w:proofErr w:type="gramEnd"/>
    </w:p>
    <w:p w:rsidR="00A768A3" w:rsidRPr="00133E07" w:rsidRDefault="00A768A3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33" w:rsidRPr="00133E07" w:rsidRDefault="00D37833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На 01.01.2016 года зарегистрирована численность постоянно проживающего населения 2545 человек. Предположительно к концу 2016 года численность населения увеличится на 19 человек.</w:t>
      </w:r>
    </w:p>
    <w:p w:rsidR="00D37833" w:rsidRPr="00133E07" w:rsidRDefault="00D37833" w:rsidP="00D37833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   Общая </w:t>
      </w:r>
      <w:r w:rsidRPr="00133E07">
        <w:rPr>
          <w:rFonts w:ascii="Times New Roman" w:eastAsia="Times New Roman" w:hAnsi="Times New Roman" w:cs="Times New Roman"/>
          <w:b/>
          <w:sz w:val="28"/>
          <w:szCs w:val="28"/>
        </w:rPr>
        <w:t>площадь</w:t>
      </w: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составляет 16 751 га</w:t>
      </w:r>
      <w:r w:rsidRPr="00133E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На территории сельского поселения свою экономическую и хозяйственную деятельность осуществляют  следующие предприятия: ОООТП «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», ОООМХО «Рассвет» АЗС №10, ЧП Юрченко, ЧП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Ванян</w:t>
      </w:r>
      <w:proofErr w:type="spellEnd"/>
      <w:proofErr w:type="gramStart"/>
      <w:r w:rsidRPr="00133E0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 xml:space="preserve"> ООО агрофирма «Приволье», крестьянские фермерские хозяйства КФХ Щербаков, КФХ Ващенко, КФХ Старцев.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Основное сельскохозяйственное предприятие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Агрофирма «Приволье»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На данном предприятии за отчетный 2015 год фонд оплаты труда составил 121673 тысяч рублей, среднесписочная численность 430 человек, средняя заработная плата 20,8 тысяч рублей.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По оценке 2016 года фонд оплаты труда составил 122679,3 тысяч рублей, занятость - 450 человек, средняя заработная плата 23,0 тысяч рублей. В период посевных и уборочных работ привлекаются  наемные  рабочие. 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прогнозируемом периоде 2017-2019 годов ожидается улучшение производственных показателей сельскохозяйственных производителей: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отрасли животноводства за счет увеличения поголовья коров, повышения продуктивности животных, повышения сохранности поголовья скота;</w:t>
      </w:r>
    </w:p>
    <w:p w:rsidR="009A50EB" w:rsidRPr="00133E07" w:rsidRDefault="009A50EB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отрасли растениеводства за счет повышения урожайности основных сельскохозяйственных культур, использования для посева высокопродуктивных районированных элитных семян, применения современных средств химизации, совершенствования технологии производства и уборки.</w:t>
      </w:r>
    </w:p>
    <w:p w:rsidR="00D37833" w:rsidRPr="00133E07" w:rsidRDefault="00D37833" w:rsidP="00D37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3E07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часть общеэкономического оборота принадлежит потребительскому рынку как составной части экономики поселения, отражающей динамику товарно-денежных отношений населения на рынке товаров и услуг.</w:t>
      </w:r>
    </w:p>
    <w:p w:rsidR="00D37833" w:rsidRPr="00133E07" w:rsidRDefault="00D37833" w:rsidP="00D3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Основная часть товарооборота поселения формируется мелкими предприятиями. Всего оборот розничной торговли на территории поселения в 2016  году составил 6600,0 тысяч рублей. Ожидаемый объем розничного товарооборота в 2019 году оценивается в сумме 6700,0 тысяч рублей.</w:t>
      </w:r>
    </w:p>
    <w:p w:rsidR="00D37833" w:rsidRPr="00133E07" w:rsidRDefault="00D37833" w:rsidP="00D3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В 2015 году введены в эксплуатацию  индивидуальные жилые дома, построенных за счет средств населения, общей площадью 1,58 тыс. м</w:t>
      </w:r>
      <w:proofErr w:type="gramStart"/>
      <w:r w:rsidRPr="00133E0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33E07">
        <w:rPr>
          <w:rFonts w:ascii="Times New Roman" w:eastAsia="Times New Roman" w:hAnsi="Times New Roman" w:cs="Times New Roman"/>
          <w:sz w:val="28"/>
          <w:szCs w:val="28"/>
        </w:rPr>
        <w:t>.  За период 2017 года на территории поселения планируется ввести в эксплуатацию более 1,0 тыс. м</w:t>
      </w:r>
      <w:proofErr w:type="gramStart"/>
      <w:r w:rsidRPr="00133E0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Pr="00133E07">
        <w:rPr>
          <w:rFonts w:ascii="Times New Roman" w:eastAsia="Times New Roman" w:hAnsi="Times New Roman" w:cs="Times New Roman"/>
        </w:rPr>
        <w:t>.</w:t>
      </w:r>
    </w:p>
    <w:p w:rsidR="009A50EB" w:rsidRPr="00133E07" w:rsidRDefault="00D11563" w:rsidP="009A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планомерного роста реального сектора экономики и динамичного развития уже существующих предприятий на период с 2017 по 2019 годы прогнозируется увеличение среднесписочной численности </w:t>
      </w:r>
      <w:r w:rsidRPr="00133E0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работающих на предприятиях, осуществляющих следующие виды деятельности: промышленность, торговля, общественное питание.</w:t>
      </w:r>
      <w:r w:rsidRPr="00133E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E07" w:rsidRPr="00133E07" w:rsidRDefault="00133E07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E8" w:rsidRPr="00133E07" w:rsidRDefault="00B53C51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Соблюдение требований основ</w:t>
      </w:r>
      <w:r w:rsidR="00E722E8" w:rsidRPr="00133E07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8B0E12" w:rsidRPr="00133E07" w:rsidRDefault="004B3A72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 xml:space="preserve">направлений бюджетной </w:t>
      </w:r>
      <w:r w:rsidR="00E722E8" w:rsidRPr="00133E07">
        <w:rPr>
          <w:rFonts w:ascii="Times New Roman" w:hAnsi="Times New Roman" w:cs="Times New Roman"/>
          <w:b/>
          <w:sz w:val="28"/>
          <w:szCs w:val="28"/>
        </w:rPr>
        <w:t xml:space="preserve">политики при составлении </w:t>
      </w:r>
    </w:p>
    <w:p w:rsidR="00E722E8" w:rsidRPr="00133E07" w:rsidRDefault="00E722E8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проекта решения</w:t>
      </w:r>
    </w:p>
    <w:p w:rsidR="00D11563" w:rsidRPr="00133E07" w:rsidRDefault="00D11563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E8" w:rsidRPr="00133E07" w:rsidRDefault="00E722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768A3" w:rsidRPr="00133E07">
        <w:rPr>
          <w:rFonts w:ascii="Times New Roman" w:hAnsi="Times New Roman" w:cs="Times New Roman"/>
          <w:sz w:val="28"/>
          <w:szCs w:val="28"/>
        </w:rPr>
        <w:t>А</w:t>
      </w:r>
      <w:r w:rsidRPr="00133E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B1C6B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A48BD" w:rsidRPr="00133E07">
        <w:rPr>
          <w:rFonts w:ascii="Times New Roman" w:hAnsi="Times New Roman" w:cs="Times New Roman"/>
          <w:sz w:val="28"/>
          <w:szCs w:val="28"/>
        </w:rPr>
        <w:t xml:space="preserve">о поселения Славянского района </w:t>
      </w:r>
      <w:r w:rsidRPr="00133E07">
        <w:rPr>
          <w:rFonts w:ascii="Times New Roman" w:hAnsi="Times New Roman" w:cs="Times New Roman"/>
          <w:sz w:val="28"/>
          <w:szCs w:val="28"/>
        </w:rPr>
        <w:t xml:space="preserve">от </w:t>
      </w:r>
      <w:r w:rsidR="002717AA" w:rsidRPr="00133E07">
        <w:rPr>
          <w:rFonts w:ascii="Times New Roman" w:hAnsi="Times New Roman" w:cs="Times New Roman"/>
          <w:sz w:val="28"/>
          <w:szCs w:val="28"/>
        </w:rPr>
        <w:t>09.11</w:t>
      </w:r>
      <w:r w:rsidR="00FA48BD" w:rsidRPr="00133E07">
        <w:rPr>
          <w:rFonts w:ascii="Times New Roman" w:hAnsi="Times New Roman" w:cs="Times New Roman"/>
          <w:sz w:val="28"/>
          <w:szCs w:val="28"/>
        </w:rPr>
        <w:t>.</w:t>
      </w:r>
      <w:r w:rsidRPr="00133E07">
        <w:rPr>
          <w:rFonts w:ascii="Times New Roman" w:hAnsi="Times New Roman" w:cs="Times New Roman"/>
          <w:sz w:val="28"/>
          <w:szCs w:val="28"/>
        </w:rPr>
        <w:t>201</w:t>
      </w:r>
      <w:r w:rsidR="002717AA" w:rsidRPr="00133E07">
        <w:rPr>
          <w:rFonts w:ascii="Times New Roman" w:hAnsi="Times New Roman" w:cs="Times New Roman"/>
          <w:sz w:val="28"/>
          <w:szCs w:val="28"/>
        </w:rPr>
        <w:t xml:space="preserve">5 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FA48BD" w:rsidRPr="00133E07">
        <w:rPr>
          <w:rFonts w:ascii="Times New Roman" w:hAnsi="Times New Roman" w:cs="Times New Roman"/>
          <w:sz w:val="28"/>
          <w:szCs w:val="28"/>
        </w:rPr>
        <w:t xml:space="preserve">№ </w:t>
      </w:r>
      <w:r w:rsidR="002717AA" w:rsidRPr="00133E07">
        <w:rPr>
          <w:rFonts w:ascii="Times New Roman" w:hAnsi="Times New Roman" w:cs="Times New Roman"/>
          <w:sz w:val="28"/>
          <w:szCs w:val="28"/>
        </w:rPr>
        <w:t>358 «Об утверждении</w:t>
      </w:r>
      <w:r w:rsidR="002C7CE0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8B0E12" w:rsidRPr="00133E07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proofErr w:type="spellStart"/>
      <w:r w:rsidR="008B0E12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8B0E12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2016 год и на плановый период 2017-2018 годов» </w:t>
      </w:r>
      <w:r w:rsidR="00FA48BD" w:rsidRPr="00133E07">
        <w:rPr>
          <w:rFonts w:ascii="Times New Roman" w:hAnsi="Times New Roman" w:cs="Times New Roman"/>
          <w:sz w:val="28"/>
          <w:szCs w:val="28"/>
        </w:rPr>
        <w:t>утверждены основные направл</w:t>
      </w:r>
      <w:r w:rsidR="00B53C51" w:rsidRPr="00133E07">
        <w:rPr>
          <w:rFonts w:ascii="Times New Roman" w:hAnsi="Times New Roman" w:cs="Times New Roman"/>
          <w:sz w:val="28"/>
          <w:szCs w:val="28"/>
        </w:rPr>
        <w:t>ения бюджетной</w:t>
      </w:r>
      <w:r w:rsidR="00FA48BD" w:rsidRPr="00133E07">
        <w:rPr>
          <w:rFonts w:ascii="Times New Roman" w:hAnsi="Times New Roman" w:cs="Times New Roman"/>
          <w:sz w:val="28"/>
          <w:szCs w:val="28"/>
        </w:rPr>
        <w:t xml:space="preserve"> и налоговой политики </w:t>
      </w:r>
      <w:proofErr w:type="spellStart"/>
      <w:r w:rsidR="00FA48BD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FA48BD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563" w:rsidRPr="00133E0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="00FA48BD" w:rsidRPr="00133E07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1563" w:rsidRPr="00133E07">
        <w:rPr>
          <w:rFonts w:ascii="Times New Roman" w:hAnsi="Times New Roman" w:cs="Times New Roman"/>
          <w:sz w:val="28"/>
          <w:szCs w:val="28"/>
        </w:rPr>
        <w:t>7</w:t>
      </w:r>
      <w:r w:rsidR="00B53C51" w:rsidRPr="00133E0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11563" w:rsidRPr="00133E07">
        <w:rPr>
          <w:rFonts w:ascii="Times New Roman" w:hAnsi="Times New Roman" w:cs="Times New Roman"/>
          <w:sz w:val="28"/>
          <w:szCs w:val="28"/>
        </w:rPr>
        <w:t>8</w:t>
      </w:r>
      <w:r w:rsidR="00B53C51" w:rsidRPr="00133E07">
        <w:rPr>
          <w:rFonts w:ascii="Times New Roman" w:hAnsi="Times New Roman" w:cs="Times New Roman"/>
          <w:sz w:val="28"/>
          <w:szCs w:val="28"/>
        </w:rPr>
        <w:t>-201</w:t>
      </w:r>
      <w:r w:rsidR="00D11563" w:rsidRPr="00133E07">
        <w:rPr>
          <w:rFonts w:ascii="Times New Roman" w:hAnsi="Times New Roman" w:cs="Times New Roman"/>
          <w:sz w:val="28"/>
          <w:szCs w:val="28"/>
        </w:rPr>
        <w:t>9</w:t>
      </w:r>
      <w:r w:rsidR="00FA48BD" w:rsidRPr="00133E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717AA" w:rsidRPr="0013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 подготовлены в соответствии со статьями 172,184.2 Бюджетного кодекса РФ и Положением о бюджетном процессе в сельском поселении.</w:t>
      </w: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обеспечивает преемственность бюджетной и налоговой политики предыдущего планового периода и ориентирована в первую очередь на реализацию основных задач, определенных Стратегией развития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района, и достижение стратегической цели – повышение качества и продолжительности жизни, развитие человеческого потенциала на основе повышения эффективности здравоохранения, образования и жилищного строительства.</w:t>
      </w:r>
      <w:proofErr w:type="gramEnd"/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Основные новации, влияющие на формирование бюджетной политики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это:</w:t>
      </w: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расширение сферы применения и повышение качества программно-целевых методов управления;</w:t>
      </w: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переход к формированию программного бюджета.</w:t>
      </w: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Славянский район по доходам на 201</w:t>
      </w:r>
      <w:r w:rsidR="001A2164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годы будет основано на наращивании собственного налогового потенциала, реализации мероприятий, направленных на повышение уровня собираемости налоговых доходов, максимально эффективного использования имущественных ресурсов в условиях общего ухудшения экономической ситуации в стране и замедления темпов роста экономики, а так же комплекса мероприятий направленных на эффективное расходование бюджетных средств.</w:t>
      </w:r>
      <w:proofErr w:type="gramEnd"/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1A2164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A2164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 и 201</w:t>
      </w:r>
      <w:r w:rsidR="001A2164" w:rsidRPr="00133E07">
        <w:rPr>
          <w:rFonts w:ascii="Times New Roman" w:hAnsi="Times New Roman" w:cs="Times New Roman"/>
          <w:sz w:val="28"/>
          <w:szCs w:val="28"/>
        </w:rPr>
        <w:t>9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годов является определение условий, принимаемых для составления проекта бюджета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1A2164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A2164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 и 201</w:t>
      </w:r>
      <w:r w:rsidR="001A2164" w:rsidRPr="00133E07">
        <w:rPr>
          <w:rFonts w:ascii="Times New Roman" w:hAnsi="Times New Roman" w:cs="Times New Roman"/>
          <w:sz w:val="28"/>
          <w:szCs w:val="28"/>
        </w:rPr>
        <w:t>9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lastRenderedPageBreak/>
        <w:t xml:space="preserve">годов, подходов к его формированию, основных характеристик и прогнозируемых параметров бюджета. </w:t>
      </w:r>
      <w:proofErr w:type="gramEnd"/>
    </w:p>
    <w:p w:rsidR="00B53C51" w:rsidRPr="00133E07" w:rsidRDefault="00B53C51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C51" w:rsidRPr="00133E07" w:rsidRDefault="004A4E02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E722E8" w:rsidRPr="00133E07">
        <w:rPr>
          <w:rFonts w:ascii="Times New Roman" w:hAnsi="Times New Roman" w:cs="Times New Roman"/>
          <w:b/>
          <w:sz w:val="28"/>
          <w:szCs w:val="28"/>
        </w:rPr>
        <w:t xml:space="preserve"> бюджетной политики</w:t>
      </w:r>
    </w:p>
    <w:p w:rsidR="00A768A3" w:rsidRPr="00133E07" w:rsidRDefault="00A768A3" w:rsidP="00A7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сбалансированности бюджета </w:t>
      </w:r>
      <w:proofErr w:type="spellStart"/>
      <w:r w:rsidRPr="00133E07">
        <w:rPr>
          <w:rFonts w:ascii="Times New Roman" w:eastAsia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будет продолжено применение мер, направленных на ограничение дефицита и уровня долга.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eastAsia="Times New Roman" w:hAnsi="Times New Roman" w:cs="Times New Roman"/>
          <w:sz w:val="28"/>
          <w:szCs w:val="28"/>
        </w:rPr>
        <w:t>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расходов, снижение привлечения дорогих коммерческих кредитов, сдерживание наращивания объема муниципального долга.</w:t>
      </w:r>
      <w:proofErr w:type="gramEnd"/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В целях минимизации имеющихся рисков несбалансированности бюджета дополнительные поступления по доходам должны быть направлены на снижение бюджетного дефицита, а не на увеличение расходных обязательств.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процедур проведения муниципальных закупок, в том числе путем внедрения казначейского сопровождения;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бюджетных расходов должны стать муниципальные программы. </w:t>
      </w:r>
    </w:p>
    <w:p w:rsidR="009370E8" w:rsidRPr="00133E07" w:rsidRDefault="009370E8" w:rsidP="0093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Для более рационального и экономного использования бюджетных средств необходимо продолжить работу по повышению эффективности  оказания муниципальных услуг.</w:t>
      </w:r>
    </w:p>
    <w:p w:rsidR="009370E8" w:rsidRPr="00133E07" w:rsidRDefault="009370E8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706" w:rsidRPr="00133E07" w:rsidRDefault="00CD7706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</w:t>
      </w:r>
      <w:r w:rsidR="00DA06AF" w:rsidRPr="00133E07">
        <w:rPr>
          <w:rFonts w:ascii="Times New Roman" w:hAnsi="Times New Roman" w:cs="Times New Roman"/>
          <w:b/>
          <w:sz w:val="28"/>
          <w:szCs w:val="28"/>
        </w:rPr>
        <w:t>сновн</w:t>
      </w:r>
      <w:r w:rsidRPr="00133E07">
        <w:rPr>
          <w:rFonts w:ascii="Times New Roman" w:hAnsi="Times New Roman" w:cs="Times New Roman"/>
          <w:b/>
          <w:sz w:val="28"/>
          <w:szCs w:val="28"/>
        </w:rPr>
        <w:t>ые</w:t>
      </w:r>
      <w:r w:rsidR="00DA06AF" w:rsidRPr="00133E07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133E07">
        <w:rPr>
          <w:rFonts w:ascii="Times New Roman" w:hAnsi="Times New Roman" w:cs="Times New Roman"/>
          <w:b/>
          <w:sz w:val="28"/>
          <w:szCs w:val="28"/>
        </w:rPr>
        <w:t>я</w:t>
      </w:r>
      <w:r w:rsidR="00DA06AF" w:rsidRPr="00133E07">
        <w:rPr>
          <w:rFonts w:ascii="Times New Roman" w:hAnsi="Times New Roman" w:cs="Times New Roman"/>
          <w:b/>
          <w:sz w:val="28"/>
          <w:szCs w:val="28"/>
        </w:rPr>
        <w:t xml:space="preserve"> налоговой</w:t>
      </w:r>
      <w:r w:rsidRPr="00133E07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A768A3" w:rsidRPr="00133E07" w:rsidRDefault="00A768A3" w:rsidP="00A768A3">
      <w:pPr>
        <w:tabs>
          <w:tab w:val="center" w:pos="4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DC" w:rsidRPr="00133E07" w:rsidRDefault="007E28DC" w:rsidP="007E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Налоговая политика </w:t>
      </w:r>
      <w:proofErr w:type="spellStart"/>
      <w:r w:rsidRPr="00133E07">
        <w:rPr>
          <w:rFonts w:ascii="Times New Roman" w:eastAsia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трехлетнего периода 2017-2019 годов, так же как и предыдущих лет, будет направлена на проведение целенаправленной  эффективной работы с </w:t>
      </w:r>
      <w:r w:rsidRPr="00133E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федеральными, краевыми и местными администраторами доходов бюджета района с целью пополнения доходами бюджета района, выявления скрытых резервов, повышения уровня собираемости налогов, сокращения недоимки, усиления налоговой дисциплины путем: </w:t>
      </w:r>
      <w:proofErr w:type="gramEnd"/>
    </w:p>
    <w:p w:rsidR="007E28DC" w:rsidRPr="00133E07" w:rsidRDefault="007E28DC" w:rsidP="007E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- установления главным администраторам (администраторам) доходов бюджета района годового задания по мобилизации администрируемых ими налоговых и неналоговых доходов, повышение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платежам;</w:t>
      </w:r>
    </w:p>
    <w:p w:rsidR="007E28DC" w:rsidRPr="00133E07" w:rsidRDefault="007E28DC" w:rsidP="007E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- проведение ежемесячных совещаний, на которых будут рассматриваться вопросы полноты мобилизации платежей в бюджет;</w:t>
      </w:r>
    </w:p>
    <w:p w:rsidR="007E28DC" w:rsidRPr="00133E07" w:rsidRDefault="007E28DC" w:rsidP="007E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-проведение индивидуальной работы на заседаниях межведомственной комиссии с организациями, имеющими задолженность по платежам в бюджет  и средняя заработная плата которых ниже среднеотраслевого уровня;</w:t>
      </w:r>
    </w:p>
    <w:p w:rsidR="007E28DC" w:rsidRPr="00133E07" w:rsidRDefault="007E28DC" w:rsidP="007E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>- увеличение доходов за счет повышения эффективности управления объектами муниципальной собственности, более рационального использования имеющегося имущества и обеспечения полноты поступления в бюджет муниципального образования Славянский район доходов от использования находящегося в муниципальной собственности имущества.</w:t>
      </w:r>
    </w:p>
    <w:p w:rsidR="007E28DC" w:rsidRPr="00133E07" w:rsidRDefault="007E28DC" w:rsidP="007E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положений Налогового кодекса Российской Федерации в Краснодарском крае с 2017 года предусмотрен </w:t>
      </w:r>
      <w:proofErr w:type="gramStart"/>
      <w:r w:rsidRPr="00133E07">
        <w:rPr>
          <w:rFonts w:ascii="Times New Roman" w:eastAsia="Times New Roman" w:hAnsi="Times New Roman" w:cs="Times New Roman"/>
          <w:sz w:val="28"/>
          <w:szCs w:val="28"/>
        </w:rPr>
        <w:t>переход</w:t>
      </w:r>
      <w:proofErr w:type="gramEnd"/>
      <w:r w:rsidRPr="00133E07">
        <w:rPr>
          <w:rFonts w:ascii="Times New Roman" w:eastAsia="Times New Roman" w:hAnsi="Times New Roman" w:cs="Times New Roman"/>
          <w:sz w:val="28"/>
          <w:szCs w:val="28"/>
        </w:rPr>
        <w:t xml:space="preserve"> к налогообложению недвижимого имущества исходя из кадастровой стоимости объектов. Будет продолжена работа по выявлению объектов недвижимости, не вовлеченных в налоговый оборот, а также по дополнению и уточнению указанных сведений для включения в государственный кадастр недвижимости.</w:t>
      </w:r>
    </w:p>
    <w:p w:rsidR="007E28DC" w:rsidRPr="00133E07" w:rsidRDefault="007E28DC" w:rsidP="00D76523">
      <w:pPr>
        <w:tabs>
          <w:tab w:val="center" w:pos="47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51" w:rsidRPr="00133E07" w:rsidRDefault="00656F33" w:rsidP="00D76523">
      <w:pPr>
        <w:tabs>
          <w:tab w:val="center" w:pos="47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Общая характеристика доходов бюджета</w:t>
      </w:r>
    </w:p>
    <w:p w:rsidR="00133E07" w:rsidRPr="00133E07" w:rsidRDefault="00133E0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237" w:rsidRPr="00133E0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Доходная база бюджета сельского поселения сформирована и исполнена в  соответствии с требованиями статей 9, 41, 47, 61.1, 62, 64, 154 БК РФ.  </w:t>
      </w:r>
    </w:p>
    <w:p w:rsidR="00EA2237" w:rsidRPr="00133E0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>В основу расчетов по формированию доходной части бюджета на 201</w:t>
      </w:r>
      <w:r w:rsidR="00055C48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EA2237" w:rsidRPr="00133E0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Формирование доходной базы бюджета сельского поселения на 201</w:t>
      </w:r>
      <w:r w:rsidR="00055C48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EA2237" w:rsidRPr="00133E0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>Общая сумма доходов на 201</w:t>
      </w:r>
      <w:r w:rsidR="00055C48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55C48" w:rsidRPr="00133E07">
        <w:rPr>
          <w:rFonts w:ascii="Times New Roman" w:hAnsi="Times New Roman" w:cs="Times New Roman"/>
          <w:sz w:val="28"/>
          <w:szCs w:val="28"/>
        </w:rPr>
        <w:t xml:space="preserve">9319,0 </w:t>
      </w:r>
      <w:r w:rsidRPr="00133E0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A2237" w:rsidRPr="00133E0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-собственные доходы составляют </w:t>
      </w:r>
      <w:r w:rsidR="000525A2" w:rsidRPr="00133E07">
        <w:rPr>
          <w:rFonts w:ascii="Times New Roman" w:hAnsi="Times New Roman" w:cs="Times New Roman"/>
          <w:sz w:val="28"/>
          <w:szCs w:val="28"/>
        </w:rPr>
        <w:t>7806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525A2" w:rsidRPr="00133E07">
        <w:rPr>
          <w:rFonts w:ascii="Times New Roman" w:hAnsi="Times New Roman" w:cs="Times New Roman"/>
          <w:sz w:val="28"/>
          <w:szCs w:val="28"/>
        </w:rPr>
        <w:t>100,7</w:t>
      </w:r>
      <w:r w:rsidRPr="00133E07">
        <w:rPr>
          <w:rFonts w:ascii="Times New Roman" w:hAnsi="Times New Roman" w:cs="Times New Roman"/>
          <w:sz w:val="28"/>
          <w:szCs w:val="28"/>
        </w:rPr>
        <w:t xml:space="preserve">% к ожидаемому исполнению бюджета </w:t>
      </w:r>
      <w:r w:rsidR="000525A2" w:rsidRPr="00133E07">
        <w:rPr>
          <w:rFonts w:ascii="Times New Roman" w:hAnsi="Times New Roman" w:cs="Times New Roman"/>
          <w:sz w:val="28"/>
          <w:szCs w:val="28"/>
        </w:rPr>
        <w:t>за</w:t>
      </w:r>
      <w:r w:rsidRPr="00133E07">
        <w:rPr>
          <w:rFonts w:ascii="Times New Roman" w:hAnsi="Times New Roman" w:cs="Times New Roman"/>
          <w:sz w:val="28"/>
          <w:szCs w:val="28"/>
        </w:rPr>
        <w:t xml:space="preserve"> 201</w:t>
      </w:r>
      <w:r w:rsidR="000525A2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(</w:t>
      </w:r>
      <w:r w:rsidR="000525A2" w:rsidRPr="00133E07">
        <w:rPr>
          <w:rFonts w:ascii="Times New Roman" w:hAnsi="Times New Roman" w:cs="Times New Roman"/>
          <w:sz w:val="28"/>
          <w:szCs w:val="28"/>
        </w:rPr>
        <w:t>7750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);</w:t>
      </w:r>
    </w:p>
    <w:p w:rsidR="00EA2237" w:rsidRPr="00133E07" w:rsidRDefault="00EA2237" w:rsidP="00EA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-субвенции на выполнение передаваемых полномочий в сумме 80,1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BF2848" w:rsidRPr="00133E07" w:rsidRDefault="00055C48" w:rsidP="0025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</w:t>
      </w:r>
      <w:r w:rsidR="00EA2237" w:rsidRPr="00133E0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в сумме </w:t>
      </w:r>
      <w:r w:rsidR="000525A2" w:rsidRPr="00133E07">
        <w:rPr>
          <w:rFonts w:ascii="Times New Roman" w:hAnsi="Times New Roman" w:cs="Times New Roman"/>
          <w:sz w:val="28"/>
          <w:szCs w:val="28"/>
        </w:rPr>
        <w:t>543,5</w:t>
      </w:r>
      <w:r w:rsidR="00EA2237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237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2237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2237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A2237" w:rsidRPr="00133E07">
        <w:rPr>
          <w:rFonts w:ascii="Times New Roman" w:hAnsi="Times New Roman" w:cs="Times New Roman"/>
          <w:sz w:val="28"/>
          <w:szCs w:val="28"/>
        </w:rPr>
        <w:t xml:space="preserve">. </w:t>
      </w:r>
      <w:r w:rsidR="00D3072D" w:rsidRPr="00133E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5A2" w:rsidRPr="00133E07" w:rsidRDefault="000525A2" w:rsidP="000525A2">
      <w:pPr>
        <w:tabs>
          <w:tab w:val="left" w:pos="7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 -субсидии в сумме 721,3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0525A2" w:rsidRPr="00133E07" w:rsidRDefault="000525A2" w:rsidP="000525A2">
      <w:pPr>
        <w:tabs>
          <w:tab w:val="left" w:pos="745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-прочие безвозмездные поступления в сумме 170,0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D76523" w:rsidRPr="00133E07" w:rsidRDefault="001F7E7F" w:rsidP="007F6089">
      <w:pPr>
        <w:tabs>
          <w:tab w:val="left" w:pos="7450"/>
        </w:tabs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76523" w:rsidRPr="00133E07">
        <w:rPr>
          <w:rFonts w:ascii="Times New Roman" w:hAnsi="Times New Roman" w:cs="Times New Roman"/>
          <w:sz w:val="28"/>
          <w:szCs w:val="28"/>
        </w:rPr>
        <w:t>рис.1</w:t>
      </w:r>
    </w:p>
    <w:p w:rsidR="002921BE" w:rsidRPr="00133E07" w:rsidRDefault="002921BE" w:rsidP="00C9280B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EF1598" wp14:editId="4C1C2642">
            <wp:extent cx="5429250" cy="269875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2848" w:rsidRPr="00133E07" w:rsidRDefault="00BF2848" w:rsidP="00C9280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A9E" w:rsidRPr="00133E07" w:rsidRDefault="00C9280B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Значительную часть от общего объёма доходов бюджета на 201</w:t>
      </w:r>
      <w:r w:rsidR="00672D4E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составляют налоговые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доходы в сумме </w:t>
      </w:r>
      <w:r w:rsidR="00672D4E" w:rsidRPr="00133E07">
        <w:rPr>
          <w:rFonts w:ascii="Times New Roman" w:hAnsi="Times New Roman" w:cs="Times New Roman"/>
          <w:sz w:val="28"/>
          <w:szCs w:val="28"/>
        </w:rPr>
        <w:t>7338,0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BB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D32BB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2BB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D32BB" w:rsidRPr="00133E07">
        <w:rPr>
          <w:rFonts w:ascii="Times New Roman" w:hAnsi="Times New Roman" w:cs="Times New Roman"/>
          <w:sz w:val="28"/>
          <w:szCs w:val="28"/>
        </w:rPr>
        <w:t xml:space="preserve"> или </w:t>
      </w:r>
      <w:r w:rsidR="00672D4E" w:rsidRPr="00133E07">
        <w:rPr>
          <w:rFonts w:ascii="Times New Roman" w:hAnsi="Times New Roman" w:cs="Times New Roman"/>
          <w:sz w:val="28"/>
          <w:szCs w:val="28"/>
        </w:rPr>
        <w:t>78,</w:t>
      </w:r>
      <w:r w:rsidR="00E251C7" w:rsidRPr="00133E07">
        <w:rPr>
          <w:rFonts w:ascii="Times New Roman" w:hAnsi="Times New Roman" w:cs="Times New Roman"/>
          <w:sz w:val="28"/>
          <w:szCs w:val="28"/>
        </w:rPr>
        <w:t>8</w:t>
      </w:r>
      <w:r w:rsidR="002921BE" w:rsidRPr="00133E07">
        <w:rPr>
          <w:rFonts w:ascii="Times New Roman" w:hAnsi="Times New Roman" w:cs="Times New Roman"/>
          <w:sz w:val="28"/>
          <w:szCs w:val="28"/>
        </w:rPr>
        <w:t>%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от общего объема доходов, что выше ожидаемого поступления </w:t>
      </w:r>
      <w:r w:rsidR="00672D4E" w:rsidRPr="00133E07">
        <w:rPr>
          <w:rFonts w:ascii="Times New Roman" w:hAnsi="Times New Roman" w:cs="Times New Roman"/>
          <w:sz w:val="28"/>
          <w:szCs w:val="28"/>
        </w:rPr>
        <w:t xml:space="preserve">за </w:t>
      </w:r>
      <w:r w:rsidR="006D32BB" w:rsidRPr="00133E07">
        <w:rPr>
          <w:rFonts w:ascii="Times New Roman" w:hAnsi="Times New Roman" w:cs="Times New Roman"/>
          <w:sz w:val="28"/>
          <w:szCs w:val="28"/>
        </w:rPr>
        <w:t>201</w:t>
      </w:r>
      <w:r w:rsidR="00672D4E" w:rsidRPr="00133E07">
        <w:rPr>
          <w:rFonts w:ascii="Times New Roman" w:hAnsi="Times New Roman" w:cs="Times New Roman"/>
          <w:sz w:val="28"/>
          <w:szCs w:val="28"/>
        </w:rPr>
        <w:t>6 год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(</w:t>
      </w:r>
      <w:r w:rsidR="00672D4E" w:rsidRPr="00133E07">
        <w:rPr>
          <w:rFonts w:ascii="Times New Roman" w:hAnsi="Times New Roman" w:cs="Times New Roman"/>
          <w:sz w:val="28"/>
          <w:szCs w:val="28"/>
        </w:rPr>
        <w:t>7284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6D32BB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672D4E" w:rsidRPr="00133E07">
        <w:rPr>
          <w:rFonts w:ascii="Times New Roman" w:hAnsi="Times New Roman" w:cs="Times New Roman"/>
          <w:sz w:val="28"/>
          <w:szCs w:val="28"/>
        </w:rPr>
        <w:t>54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6D32BB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72D4E" w:rsidRPr="00133E07">
        <w:rPr>
          <w:rFonts w:ascii="Times New Roman" w:hAnsi="Times New Roman" w:cs="Times New Roman"/>
          <w:sz w:val="28"/>
          <w:szCs w:val="28"/>
        </w:rPr>
        <w:t>0,7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% и </w:t>
      </w:r>
      <w:r w:rsidR="003241FE" w:rsidRPr="00133E07">
        <w:rPr>
          <w:rFonts w:ascii="Times New Roman" w:hAnsi="Times New Roman" w:cs="Times New Roman"/>
          <w:sz w:val="28"/>
          <w:szCs w:val="28"/>
        </w:rPr>
        <w:t>выше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фактических поступлений за 201</w:t>
      </w:r>
      <w:r w:rsidR="003241FE" w:rsidRPr="00133E07">
        <w:rPr>
          <w:rFonts w:ascii="Times New Roman" w:hAnsi="Times New Roman" w:cs="Times New Roman"/>
          <w:sz w:val="28"/>
          <w:szCs w:val="28"/>
        </w:rPr>
        <w:t>5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год (</w:t>
      </w:r>
      <w:r w:rsidR="003241FE" w:rsidRPr="00133E07">
        <w:rPr>
          <w:rFonts w:ascii="Times New Roman" w:hAnsi="Times New Roman" w:cs="Times New Roman"/>
          <w:sz w:val="28"/>
          <w:szCs w:val="28"/>
        </w:rPr>
        <w:t>6882,4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BB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3241FE" w:rsidRPr="00133E07">
        <w:rPr>
          <w:rFonts w:ascii="Times New Roman" w:hAnsi="Times New Roman" w:cs="Times New Roman"/>
          <w:sz w:val="28"/>
          <w:szCs w:val="28"/>
        </w:rPr>
        <w:t>455,6</w:t>
      </w:r>
      <w:r w:rsidR="006D32BB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BB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D32BB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241FE" w:rsidRPr="00133E07">
        <w:rPr>
          <w:rFonts w:ascii="Times New Roman" w:hAnsi="Times New Roman" w:cs="Times New Roman"/>
          <w:sz w:val="28"/>
          <w:szCs w:val="28"/>
        </w:rPr>
        <w:t>6,6</w:t>
      </w:r>
      <w:r w:rsidR="006D32BB" w:rsidRPr="00133E07">
        <w:rPr>
          <w:rFonts w:ascii="Times New Roman" w:hAnsi="Times New Roman" w:cs="Times New Roman"/>
          <w:sz w:val="28"/>
          <w:szCs w:val="28"/>
        </w:rPr>
        <w:t>%.</w:t>
      </w:r>
    </w:p>
    <w:p w:rsidR="00545132" w:rsidRPr="00133E07" w:rsidRDefault="00545132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090D" w:rsidRPr="00133E07" w:rsidRDefault="0043090D" w:rsidP="00D76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Динамика доходов бюджета приведена в таблице</w:t>
      </w:r>
      <w:r w:rsidR="00D84A9E" w:rsidRPr="00133E07">
        <w:rPr>
          <w:rFonts w:ascii="Times New Roman" w:hAnsi="Times New Roman" w:cs="Times New Roman"/>
          <w:sz w:val="28"/>
          <w:szCs w:val="28"/>
        </w:rPr>
        <w:t xml:space="preserve"> № 1</w:t>
      </w:r>
      <w:r w:rsidR="00672D4E" w:rsidRPr="00133E07">
        <w:rPr>
          <w:rFonts w:ascii="Times New Roman" w:hAnsi="Times New Roman" w:cs="Times New Roman"/>
          <w:sz w:val="28"/>
          <w:szCs w:val="28"/>
        </w:rPr>
        <w:t>.</w:t>
      </w:r>
    </w:p>
    <w:p w:rsidR="00545132" w:rsidRPr="00133E07" w:rsidRDefault="007708D7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  <w:r w:rsidRPr="00133E0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132" w:rsidRPr="00133E0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7708D7" w:rsidRPr="00133E07" w:rsidRDefault="00545132" w:rsidP="007708D7">
      <w:pPr>
        <w:tabs>
          <w:tab w:val="left" w:pos="821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708D7" w:rsidRPr="00133E07">
        <w:rPr>
          <w:rFonts w:ascii="Times New Roman" w:hAnsi="Times New Roman" w:cs="Times New Roman"/>
          <w:sz w:val="12"/>
          <w:szCs w:val="12"/>
        </w:rPr>
        <w:t xml:space="preserve">      </w:t>
      </w:r>
      <w:r w:rsidR="007708D7" w:rsidRPr="00133E07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1F2BF7" w:rsidRPr="00133E07" w:rsidTr="00295FB0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BF4" w:rsidRPr="00133E07" w:rsidRDefault="00C87BF4" w:rsidP="00C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Динамика доходов бюджета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Прикубанского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1F2BF7" w:rsidRPr="00133E07" w:rsidTr="00295FB0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BF4" w:rsidRPr="00133E07" w:rsidRDefault="00C87BF4" w:rsidP="0067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Славянского района за период 201</w:t>
            </w:r>
            <w:r w:rsidR="00672D4E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D32BB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</w:t>
            </w:r>
            <w:r w:rsidR="00672D4E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84A9E" w:rsidRPr="00133E07" w:rsidRDefault="00D84A9E" w:rsidP="00C9280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708D" w:rsidRPr="00133E07" w:rsidRDefault="00C13174" w:rsidP="00DC708D">
      <w:pPr>
        <w:tabs>
          <w:tab w:val="left" w:pos="810"/>
        </w:tabs>
        <w:spacing w:after="0" w:line="24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ab/>
      </w:r>
      <w:r w:rsidR="00DC708D" w:rsidRPr="00133E07">
        <w:rPr>
          <w:rFonts w:ascii="Times New Roman" w:hAnsi="Times New Roman" w:cs="Times New Roman"/>
          <w:b/>
          <w:sz w:val="28"/>
          <w:szCs w:val="28"/>
        </w:rPr>
        <w:tab/>
      </w:r>
      <w:r w:rsidR="00DC708D" w:rsidRPr="00133E0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992"/>
        <w:gridCol w:w="851"/>
        <w:gridCol w:w="993"/>
        <w:gridCol w:w="819"/>
        <w:gridCol w:w="860"/>
        <w:gridCol w:w="840"/>
        <w:gridCol w:w="1308"/>
      </w:tblGrid>
      <w:tr w:rsidR="00000557" w:rsidRPr="00133E07" w:rsidTr="00000557">
        <w:trPr>
          <w:trHeight w:val="7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за 2015 год,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исполнение 2016г.,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2017 год, тыс. руб.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к 2015 году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к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ожид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.  2016 года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плана 2017г</w:t>
            </w:r>
          </w:p>
        </w:tc>
      </w:tr>
      <w:tr w:rsidR="00000557" w:rsidRPr="00133E07" w:rsidTr="00A846B0">
        <w:trPr>
          <w:trHeight w:val="8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доходов</w:t>
            </w:r>
          </w:p>
        </w:tc>
      </w:tr>
      <w:tr w:rsidR="00000557" w:rsidRPr="00133E07" w:rsidTr="00A846B0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A8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</w:t>
            </w:r>
            <w:r w:rsidR="00A846B0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E2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</w:t>
            </w:r>
            <w:r w:rsidR="00E251C7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1 804,0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4,4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1 734,0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1 524,0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16,4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3 535,8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3 445,0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38,6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000557" w:rsidRPr="00133E07" w:rsidTr="00A846B0">
        <w:trPr>
          <w:trHeight w:val="10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1 659,3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4,8</w:t>
            </w:r>
          </w:p>
        </w:tc>
      </w:tr>
      <w:tr w:rsidR="00000557" w:rsidRPr="00133E07" w:rsidTr="00A846B0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A846B0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A8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A846B0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530,5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A8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</w:t>
            </w:r>
            <w:r w:rsidR="00A846B0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A8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846B0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A8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</w:t>
            </w:r>
            <w:r w:rsidR="00A846B0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A8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</w:t>
            </w:r>
            <w:r w:rsidR="00A846B0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00557" w:rsidRPr="00133E07" w:rsidTr="00A846B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8D" w:rsidRPr="00133E07" w:rsidRDefault="00DC708D" w:rsidP="00DC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A846B0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E2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-71</w:t>
            </w:r>
            <w:r w:rsidR="00E251C7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251C7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E2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</w:t>
            </w:r>
            <w:r w:rsidR="00E251C7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E2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251C7"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8D" w:rsidRPr="00133E07" w:rsidRDefault="00DC708D" w:rsidP="00DC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EF18CB" w:rsidRPr="00133E07" w:rsidRDefault="00EF18CB" w:rsidP="00DC708D">
      <w:pPr>
        <w:tabs>
          <w:tab w:val="left" w:pos="310"/>
        </w:tabs>
        <w:spacing w:after="0" w:line="24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</w:p>
    <w:p w:rsidR="00EF18CB" w:rsidRPr="00133E07" w:rsidRDefault="00EF18CB" w:rsidP="00306FB5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0B" w:rsidRPr="00133E07" w:rsidRDefault="005020AD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Н</w:t>
      </w:r>
      <w:r w:rsidR="00306FB5" w:rsidRPr="00133E07">
        <w:rPr>
          <w:rFonts w:ascii="Times New Roman" w:hAnsi="Times New Roman" w:cs="Times New Roman"/>
          <w:b/>
          <w:sz w:val="28"/>
          <w:szCs w:val="28"/>
        </w:rPr>
        <w:t>алоговые</w:t>
      </w:r>
      <w:r w:rsidR="00C9280B" w:rsidRPr="00133E07">
        <w:rPr>
          <w:rFonts w:ascii="Times New Roman" w:hAnsi="Times New Roman" w:cs="Times New Roman"/>
          <w:b/>
          <w:sz w:val="28"/>
          <w:szCs w:val="28"/>
        </w:rPr>
        <w:t xml:space="preserve"> доходы проекта бюджета</w:t>
      </w:r>
    </w:p>
    <w:p w:rsidR="00695BBA" w:rsidRPr="00133E07" w:rsidRDefault="00C9280B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Прогнозные назначения по налоговым доходам на 201</w:t>
      </w:r>
      <w:r w:rsidR="00000557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BC4DDE" w:rsidRPr="00133E07">
        <w:rPr>
          <w:rFonts w:ascii="Times New Roman" w:hAnsi="Times New Roman" w:cs="Times New Roman"/>
          <w:sz w:val="28"/>
          <w:szCs w:val="28"/>
        </w:rPr>
        <w:t>ляют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000557" w:rsidRPr="00133E07">
        <w:rPr>
          <w:rFonts w:ascii="Times New Roman" w:hAnsi="Times New Roman" w:cs="Times New Roman"/>
          <w:sz w:val="28"/>
          <w:szCs w:val="28"/>
        </w:rPr>
        <w:t xml:space="preserve">7338,0 </w:t>
      </w:r>
      <w:proofErr w:type="spellStart"/>
      <w:r w:rsidR="0084535D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4535D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535D" w:rsidRPr="00133E07">
        <w:rPr>
          <w:rFonts w:ascii="Times New Roman" w:hAnsi="Times New Roman" w:cs="Times New Roman"/>
          <w:sz w:val="28"/>
          <w:szCs w:val="28"/>
        </w:rPr>
        <w:t>уб</w:t>
      </w:r>
      <w:r w:rsidR="001669FA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</w:t>
      </w:r>
      <w:r w:rsidR="00000557" w:rsidRPr="00133E07">
        <w:rPr>
          <w:rFonts w:ascii="Times New Roman" w:hAnsi="Times New Roman" w:cs="Times New Roman"/>
          <w:sz w:val="28"/>
          <w:szCs w:val="28"/>
        </w:rPr>
        <w:t>78,</w:t>
      </w:r>
      <w:r w:rsidR="00E251C7" w:rsidRPr="00133E07">
        <w:rPr>
          <w:rFonts w:ascii="Times New Roman" w:hAnsi="Times New Roman" w:cs="Times New Roman"/>
          <w:sz w:val="28"/>
          <w:szCs w:val="28"/>
        </w:rPr>
        <w:t>8</w:t>
      </w:r>
      <w:r w:rsidR="001669FA" w:rsidRPr="00133E07">
        <w:rPr>
          <w:rFonts w:ascii="Times New Roman" w:hAnsi="Times New Roman" w:cs="Times New Roman"/>
          <w:sz w:val="28"/>
          <w:szCs w:val="28"/>
        </w:rPr>
        <w:t>% от общего объема доходов, что выше ожидаемого поступления в 201</w:t>
      </w:r>
      <w:r w:rsidR="00000557" w:rsidRPr="00133E07">
        <w:rPr>
          <w:rFonts w:ascii="Times New Roman" w:hAnsi="Times New Roman" w:cs="Times New Roman"/>
          <w:sz w:val="28"/>
          <w:szCs w:val="28"/>
        </w:rPr>
        <w:t>6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000557" w:rsidRPr="00133E07">
        <w:rPr>
          <w:rFonts w:ascii="Times New Roman" w:hAnsi="Times New Roman" w:cs="Times New Roman"/>
          <w:sz w:val="28"/>
          <w:szCs w:val="28"/>
        </w:rPr>
        <w:t>7284,0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000557" w:rsidRPr="00133E07">
        <w:rPr>
          <w:rFonts w:ascii="Times New Roman" w:hAnsi="Times New Roman" w:cs="Times New Roman"/>
          <w:sz w:val="28"/>
          <w:szCs w:val="28"/>
        </w:rPr>
        <w:t>54,0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00557" w:rsidRPr="00133E07">
        <w:rPr>
          <w:rFonts w:ascii="Times New Roman" w:hAnsi="Times New Roman" w:cs="Times New Roman"/>
          <w:sz w:val="28"/>
          <w:szCs w:val="28"/>
        </w:rPr>
        <w:t>0,7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% и </w:t>
      </w:r>
      <w:r w:rsidR="00000557" w:rsidRPr="00133E07">
        <w:rPr>
          <w:rFonts w:ascii="Times New Roman" w:hAnsi="Times New Roman" w:cs="Times New Roman"/>
          <w:sz w:val="28"/>
          <w:szCs w:val="28"/>
        </w:rPr>
        <w:lastRenderedPageBreak/>
        <w:t>выше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фактических поступлений за 201</w:t>
      </w:r>
      <w:r w:rsidR="00000557" w:rsidRPr="00133E07">
        <w:rPr>
          <w:rFonts w:ascii="Times New Roman" w:hAnsi="Times New Roman" w:cs="Times New Roman"/>
          <w:sz w:val="28"/>
          <w:szCs w:val="28"/>
        </w:rPr>
        <w:t>5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год (</w:t>
      </w:r>
      <w:r w:rsidR="00000557" w:rsidRPr="00133E07">
        <w:rPr>
          <w:rFonts w:ascii="Times New Roman" w:hAnsi="Times New Roman" w:cs="Times New Roman"/>
          <w:sz w:val="28"/>
          <w:szCs w:val="28"/>
        </w:rPr>
        <w:t>6882,4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000557" w:rsidRPr="00133E07">
        <w:rPr>
          <w:rFonts w:ascii="Times New Roman" w:hAnsi="Times New Roman" w:cs="Times New Roman"/>
          <w:sz w:val="28"/>
          <w:szCs w:val="28"/>
        </w:rPr>
        <w:t>455,6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00557" w:rsidRPr="00133E07">
        <w:rPr>
          <w:rFonts w:ascii="Times New Roman" w:hAnsi="Times New Roman" w:cs="Times New Roman"/>
          <w:sz w:val="28"/>
          <w:szCs w:val="28"/>
        </w:rPr>
        <w:t>6,6</w:t>
      </w:r>
      <w:r w:rsidR="001669FA" w:rsidRPr="00133E07">
        <w:rPr>
          <w:rFonts w:ascii="Times New Roman" w:hAnsi="Times New Roman" w:cs="Times New Roman"/>
          <w:sz w:val="28"/>
          <w:szCs w:val="28"/>
        </w:rPr>
        <w:t>%</w:t>
      </w:r>
      <w:r w:rsidR="00000557" w:rsidRPr="00133E07">
        <w:rPr>
          <w:rFonts w:ascii="Times New Roman" w:hAnsi="Times New Roman" w:cs="Times New Roman"/>
          <w:sz w:val="28"/>
          <w:szCs w:val="28"/>
        </w:rPr>
        <w:t>.</w:t>
      </w:r>
    </w:p>
    <w:p w:rsidR="001669FA" w:rsidRPr="00133E0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E07">
        <w:rPr>
          <w:rFonts w:ascii="Times New Roman" w:hAnsi="Times New Roman" w:cs="Times New Roman"/>
          <w:sz w:val="28"/>
          <w:szCs w:val="28"/>
        </w:rPr>
        <w:t>Налоговыми источниками, формирующими долю налоговых доходов бюджета сельского поселения являются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:</w:t>
      </w:r>
    </w:p>
    <w:p w:rsidR="001669FA" w:rsidRPr="00133E07" w:rsidRDefault="00000557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который запланирован в сумме </w:t>
      </w:r>
      <w:r w:rsidRPr="00133E07">
        <w:rPr>
          <w:rFonts w:ascii="Times New Roman" w:hAnsi="Times New Roman" w:cs="Times New Roman"/>
          <w:sz w:val="28"/>
          <w:szCs w:val="28"/>
        </w:rPr>
        <w:t>1804,0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69FA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69FA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</w:t>
      </w:r>
      <w:r w:rsidR="00DA7FB6" w:rsidRPr="00133E07">
        <w:rPr>
          <w:rFonts w:ascii="Times New Roman" w:hAnsi="Times New Roman" w:cs="Times New Roman"/>
          <w:sz w:val="28"/>
          <w:szCs w:val="28"/>
        </w:rPr>
        <w:t>19,</w:t>
      </w:r>
      <w:r w:rsidRPr="00133E07">
        <w:rPr>
          <w:rFonts w:ascii="Times New Roman" w:hAnsi="Times New Roman" w:cs="Times New Roman"/>
          <w:sz w:val="28"/>
          <w:szCs w:val="28"/>
        </w:rPr>
        <w:t>4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% в структуре доходов бюджета сельского поселения, что выше ожидаемого поступления в 2015 году (</w:t>
      </w:r>
      <w:r w:rsidRPr="00133E07">
        <w:rPr>
          <w:rFonts w:ascii="Times New Roman" w:hAnsi="Times New Roman" w:cs="Times New Roman"/>
          <w:sz w:val="28"/>
          <w:szCs w:val="28"/>
        </w:rPr>
        <w:t>1755,0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Pr="00133E07">
        <w:rPr>
          <w:rFonts w:ascii="Times New Roman" w:hAnsi="Times New Roman" w:cs="Times New Roman"/>
          <w:sz w:val="28"/>
          <w:szCs w:val="28"/>
        </w:rPr>
        <w:t>49,0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133E07">
        <w:rPr>
          <w:rFonts w:ascii="Times New Roman" w:hAnsi="Times New Roman" w:cs="Times New Roman"/>
          <w:sz w:val="28"/>
          <w:szCs w:val="28"/>
        </w:rPr>
        <w:t>2,8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% и </w:t>
      </w:r>
      <w:r w:rsidR="00DA7FB6" w:rsidRPr="00133E07">
        <w:rPr>
          <w:rFonts w:ascii="Times New Roman" w:hAnsi="Times New Roman" w:cs="Times New Roman"/>
          <w:sz w:val="28"/>
          <w:szCs w:val="28"/>
        </w:rPr>
        <w:t>выше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</w:t>
      </w:r>
      <w:r w:rsidRPr="00133E07">
        <w:rPr>
          <w:rFonts w:ascii="Times New Roman" w:hAnsi="Times New Roman" w:cs="Times New Roman"/>
          <w:sz w:val="28"/>
          <w:szCs w:val="28"/>
        </w:rPr>
        <w:t>5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Pr="00133E07">
        <w:rPr>
          <w:rFonts w:ascii="Times New Roman" w:hAnsi="Times New Roman" w:cs="Times New Roman"/>
          <w:sz w:val="28"/>
          <w:szCs w:val="28"/>
        </w:rPr>
        <w:t>1720,7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Pr="00133E07">
        <w:rPr>
          <w:rFonts w:ascii="Times New Roman" w:hAnsi="Times New Roman" w:cs="Times New Roman"/>
          <w:sz w:val="28"/>
          <w:szCs w:val="28"/>
        </w:rPr>
        <w:t>83,3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133E07">
        <w:rPr>
          <w:rFonts w:ascii="Times New Roman" w:hAnsi="Times New Roman" w:cs="Times New Roman"/>
          <w:sz w:val="28"/>
          <w:szCs w:val="28"/>
        </w:rPr>
        <w:t>4,8</w:t>
      </w:r>
      <w:r w:rsidR="001669FA" w:rsidRPr="00133E07">
        <w:rPr>
          <w:rFonts w:ascii="Times New Roman" w:hAnsi="Times New Roman" w:cs="Times New Roman"/>
          <w:sz w:val="28"/>
          <w:szCs w:val="28"/>
        </w:rPr>
        <w:t>%;</w:t>
      </w:r>
    </w:p>
    <w:p w:rsidR="001669FA" w:rsidRPr="00133E07" w:rsidRDefault="00000557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</w:t>
      </w:r>
      <w:r w:rsidRPr="00133E07">
        <w:rPr>
          <w:rFonts w:ascii="Times New Roman" w:hAnsi="Times New Roman" w:cs="Times New Roman"/>
          <w:sz w:val="28"/>
          <w:szCs w:val="28"/>
        </w:rPr>
        <w:t>1524,0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69FA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69FA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33E07">
        <w:rPr>
          <w:rFonts w:ascii="Times New Roman" w:hAnsi="Times New Roman" w:cs="Times New Roman"/>
          <w:sz w:val="28"/>
          <w:szCs w:val="28"/>
        </w:rPr>
        <w:t>16,4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% в структуре доходов, что </w:t>
      </w:r>
      <w:r w:rsidRPr="00133E07">
        <w:rPr>
          <w:rFonts w:ascii="Times New Roman" w:hAnsi="Times New Roman" w:cs="Times New Roman"/>
          <w:sz w:val="28"/>
          <w:szCs w:val="28"/>
        </w:rPr>
        <w:t>ниже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ожидаемого поступления в 201</w:t>
      </w:r>
      <w:r w:rsidRPr="00133E07">
        <w:rPr>
          <w:rFonts w:ascii="Times New Roman" w:hAnsi="Times New Roman" w:cs="Times New Roman"/>
          <w:sz w:val="28"/>
          <w:szCs w:val="28"/>
        </w:rPr>
        <w:t>6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Pr="00133E07">
        <w:rPr>
          <w:rFonts w:ascii="Times New Roman" w:hAnsi="Times New Roman" w:cs="Times New Roman"/>
          <w:sz w:val="28"/>
          <w:szCs w:val="28"/>
        </w:rPr>
        <w:t>1734,0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DA7FB6" w:rsidRPr="00133E07">
        <w:rPr>
          <w:rFonts w:ascii="Times New Roman" w:hAnsi="Times New Roman" w:cs="Times New Roman"/>
          <w:sz w:val="28"/>
          <w:szCs w:val="28"/>
        </w:rPr>
        <w:t>2</w:t>
      </w:r>
      <w:r w:rsidRPr="00133E07">
        <w:rPr>
          <w:rFonts w:ascii="Times New Roman" w:hAnsi="Times New Roman" w:cs="Times New Roman"/>
          <w:sz w:val="28"/>
          <w:szCs w:val="28"/>
        </w:rPr>
        <w:t>10</w:t>
      </w:r>
      <w:r w:rsidR="00DA7FB6" w:rsidRPr="00133E07">
        <w:rPr>
          <w:rFonts w:ascii="Times New Roman" w:hAnsi="Times New Roman" w:cs="Times New Roman"/>
          <w:sz w:val="28"/>
          <w:szCs w:val="28"/>
        </w:rPr>
        <w:t>,0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A7FB6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133E07">
        <w:rPr>
          <w:rFonts w:ascii="Times New Roman" w:hAnsi="Times New Roman" w:cs="Times New Roman"/>
          <w:sz w:val="28"/>
          <w:szCs w:val="28"/>
        </w:rPr>
        <w:t>12,1</w:t>
      </w:r>
      <w:r w:rsidR="00DA7FB6" w:rsidRPr="00133E07">
        <w:rPr>
          <w:rFonts w:ascii="Times New Roman" w:hAnsi="Times New Roman" w:cs="Times New Roman"/>
          <w:sz w:val="28"/>
          <w:szCs w:val="28"/>
        </w:rPr>
        <w:t>%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133E07">
        <w:rPr>
          <w:rFonts w:ascii="Times New Roman" w:hAnsi="Times New Roman" w:cs="Times New Roman"/>
          <w:sz w:val="28"/>
          <w:szCs w:val="28"/>
        </w:rPr>
        <w:t>240,5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A7FB6" w:rsidRPr="00133E07">
        <w:rPr>
          <w:rFonts w:ascii="Times New Roman" w:hAnsi="Times New Roman" w:cs="Times New Roman"/>
          <w:sz w:val="28"/>
          <w:szCs w:val="28"/>
        </w:rPr>
        <w:t xml:space="preserve">или на </w:t>
      </w:r>
      <w:r w:rsidRPr="00133E07">
        <w:rPr>
          <w:rFonts w:ascii="Times New Roman" w:hAnsi="Times New Roman" w:cs="Times New Roman"/>
          <w:sz w:val="28"/>
          <w:szCs w:val="28"/>
        </w:rPr>
        <w:t>18,7</w:t>
      </w:r>
      <w:r w:rsidR="00DA7FB6" w:rsidRPr="00133E07">
        <w:rPr>
          <w:rFonts w:ascii="Times New Roman" w:hAnsi="Times New Roman" w:cs="Times New Roman"/>
          <w:sz w:val="28"/>
          <w:szCs w:val="28"/>
        </w:rPr>
        <w:t>% выше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</w:t>
      </w:r>
      <w:r w:rsidRPr="00133E07">
        <w:rPr>
          <w:rFonts w:ascii="Times New Roman" w:hAnsi="Times New Roman" w:cs="Times New Roman"/>
          <w:sz w:val="28"/>
          <w:szCs w:val="28"/>
        </w:rPr>
        <w:t>15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Pr="00133E07">
        <w:rPr>
          <w:rFonts w:ascii="Times New Roman" w:hAnsi="Times New Roman" w:cs="Times New Roman"/>
          <w:sz w:val="28"/>
          <w:szCs w:val="28"/>
        </w:rPr>
        <w:t>1283,5</w:t>
      </w:r>
      <w:r w:rsidR="001669FA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FA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69FA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69FA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69FA" w:rsidRPr="00133E07">
        <w:rPr>
          <w:rFonts w:ascii="Times New Roman" w:hAnsi="Times New Roman" w:cs="Times New Roman"/>
          <w:sz w:val="28"/>
          <w:szCs w:val="28"/>
        </w:rPr>
        <w:t>).Объем доходов от акцизов рассчитан министерством финансов Краснодарского края по установленным дифференцированным нормативам отчислений в местные бюджеты.</w:t>
      </w:r>
    </w:p>
    <w:p w:rsidR="001669FA" w:rsidRPr="00133E0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 налог на имущество физических лиц предусмотрен в 201</w:t>
      </w:r>
      <w:r w:rsidR="00644ACB" w:rsidRPr="00133E07">
        <w:rPr>
          <w:rFonts w:ascii="Times New Roman" w:hAnsi="Times New Roman" w:cs="Times New Roman"/>
          <w:sz w:val="28"/>
          <w:szCs w:val="28"/>
        </w:rPr>
        <w:t xml:space="preserve">7 </w:t>
      </w:r>
      <w:r w:rsidRPr="00133E07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644ACB" w:rsidRPr="00133E07">
        <w:rPr>
          <w:rFonts w:ascii="Times New Roman" w:hAnsi="Times New Roman" w:cs="Times New Roman"/>
          <w:sz w:val="28"/>
          <w:szCs w:val="28"/>
        </w:rPr>
        <w:t>410,0</w:t>
      </w:r>
      <w:r w:rsidR="001549E1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</w:t>
      </w:r>
      <w:r w:rsidR="001549E1" w:rsidRPr="00133E07">
        <w:rPr>
          <w:rFonts w:ascii="Times New Roman" w:hAnsi="Times New Roman" w:cs="Times New Roman"/>
          <w:sz w:val="28"/>
          <w:szCs w:val="28"/>
        </w:rPr>
        <w:t>4</w:t>
      </w:r>
      <w:r w:rsidR="00644ACB" w:rsidRPr="00133E07">
        <w:rPr>
          <w:rFonts w:ascii="Times New Roman" w:hAnsi="Times New Roman" w:cs="Times New Roman"/>
          <w:sz w:val="28"/>
          <w:szCs w:val="28"/>
        </w:rPr>
        <w:t>,4</w:t>
      </w:r>
      <w:r w:rsidRPr="00133E07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</w:t>
      </w:r>
      <w:r w:rsidR="00644ACB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644ACB" w:rsidRPr="00133E07">
        <w:rPr>
          <w:rFonts w:ascii="Times New Roman" w:hAnsi="Times New Roman" w:cs="Times New Roman"/>
          <w:sz w:val="28"/>
          <w:szCs w:val="28"/>
        </w:rPr>
        <w:t>350</w:t>
      </w:r>
      <w:r w:rsidR="001549E1" w:rsidRPr="00133E07">
        <w:rPr>
          <w:rFonts w:ascii="Times New Roman" w:hAnsi="Times New Roman" w:cs="Times New Roman"/>
          <w:sz w:val="28"/>
          <w:szCs w:val="28"/>
        </w:rPr>
        <w:t>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60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17,1</w:t>
      </w:r>
      <w:r w:rsidRPr="00133E07">
        <w:rPr>
          <w:rFonts w:ascii="Times New Roman" w:hAnsi="Times New Roman" w:cs="Times New Roman"/>
          <w:sz w:val="28"/>
          <w:szCs w:val="28"/>
        </w:rPr>
        <w:t>% и выше фактического поступления в 201</w:t>
      </w:r>
      <w:r w:rsidR="00644ACB" w:rsidRPr="00133E07">
        <w:rPr>
          <w:rFonts w:ascii="Times New Roman" w:hAnsi="Times New Roman" w:cs="Times New Roman"/>
          <w:sz w:val="28"/>
          <w:szCs w:val="28"/>
        </w:rPr>
        <w:t>5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644ACB" w:rsidRPr="00133E07">
        <w:rPr>
          <w:rFonts w:ascii="Times New Roman" w:hAnsi="Times New Roman" w:cs="Times New Roman"/>
          <w:sz w:val="28"/>
          <w:szCs w:val="28"/>
        </w:rPr>
        <w:t>342,4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67,6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19,7</w:t>
      </w:r>
      <w:r w:rsidRPr="00133E07">
        <w:rPr>
          <w:rFonts w:ascii="Times New Roman" w:hAnsi="Times New Roman" w:cs="Times New Roman"/>
          <w:sz w:val="28"/>
          <w:szCs w:val="28"/>
        </w:rPr>
        <w:t>%. В основу расчетов по поступлению налога на имущества физических лиц приняты прогнозные данные об объеме налоговой базы и налоговых льготах,  оценка погашения задолженности по налогу.</w:t>
      </w:r>
    </w:p>
    <w:p w:rsidR="001669FA" w:rsidRPr="00133E07" w:rsidRDefault="001669FA" w:rsidP="0016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 земельный налог запланирован в сумме </w:t>
      </w:r>
      <w:r w:rsidR="00644ACB" w:rsidRPr="00133E07">
        <w:rPr>
          <w:rFonts w:ascii="Times New Roman" w:hAnsi="Times New Roman" w:cs="Times New Roman"/>
          <w:sz w:val="28"/>
          <w:szCs w:val="28"/>
        </w:rPr>
        <w:t>3600,0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</w:t>
      </w:r>
      <w:r w:rsidR="00644ACB" w:rsidRPr="00133E07">
        <w:rPr>
          <w:rFonts w:ascii="Times New Roman" w:hAnsi="Times New Roman" w:cs="Times New Roman"/>
          <w:sz w:val="28"/>
          <w:szCs w:val="28"/>
        </w:rPr>
        <w:t>38,6</w:t>
      </w:r>
      <w:r w:rsidRPr="00133E07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</w:t>
      </w:r>
      <w:r w:rsidR="00644ACB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27754C" w:rsidRPr="00133E07">
        <w:rPr>
          <w:rFonts w:ascii="Times New Roman" w:hAnsi="Times New Roman" w:cs="Times New Roman"/>
          <w:sz w:val="28"/>
          <w:szCs w:val="28"/>
        </w:rPr>
        <w:t>3</w:t>
      </w:r>
      <w:r w:rsidR="00644ACB" w:rsidRPr="00133E07">
        <w:rPr>
          <w:rFonts w:ascii="Times New Roman" w:hAnsi="Times New Roman" w:cs="Times New Roman"/>
          <w:sz w:val="28"/>
          <w:szCs w:val="28"/>
        </w:rPr>
        <w:t>445</w:t>
      </w:r>
      <w:r w:rsidR="0027754C" w:rsidRPr="00133E07">
        <w:rPr>
          <w:rFonts w:ascii="Times New Roman" w:hAnsi="Times New Roman" w:cs="Times New Roman"/>
          <w:sz w:val="28"/>
          <w:szCs w:val="28"/>
        </w:rPr>
        <w:t>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155,0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4</w:t>
      </w:r>
      <w:r w:rsidR="0027754C" w:rsidRPr="00133E07">
        <w:rPr>
          <w:rFonts w:ascii="Times New Roman" w:hAnsi="Times New Roman" w:cs="Times New Roman"/>
          <w:sz w:val="28"/>
          <w:szCs w:val="28"/>
        </w:rPr>
        <w:t>,5</w:t>
      </w:r>
      <w:r w:rsidRPr="00133E07">
        <w:rPr>
          <w:rFonts w:ascii="Times New Roman" w:hAnsi="Times New Roman" w:cs="Times New Roman"/>
          <w:sz w:val="28"/>
          <w:szCs w:val="28"/>
        </w:rPr>
        <w:t xml:space="preserve">% и </w:t>
      </w:r>
      <w:r w:rsidR="0027754C" w:rsidRPr="00133E07">
        <w:rPr>
          <w:rFonts w:ascii="Times New Roman" w:hAnsi="Times New Roman" w:cs="Times New Roman"/>
          <w:sz w:val="28"/>
          <w:szCs w:val="28"/>
        </w:rPr>
        <w:t>выше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</w:t>
      </w:r>
      <w:r w:rsidR="00644ACB" w:rsidRPr="00133E07">
        <w:rPr>
          <w:rFonts w:ascii="Times New Roman" w:hAnsi="Times New Roman" w:cs="Times New Roman"/>
          <w:sz w:val="28"/>
          <w:szCs w:val="28"/>
        </w:rPr>
        <w:t>5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644ACB" w:rsidRPr="00133E07">
        <w:rPr>
          <w:rFonts w:ascii="Times New Roman" w:hAnsi="Times New Roman" w:cs="Times New Roman"/>
          <w:sz w:val="28"/>
          <w:szCs w:val="28"/>
        </w:rPr>
        <w:t>3535,8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64,2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44ACB" w:rsidRPr="00133E07">
        <w:rPr>
          <w:rFonts w:ascii="Times New Roman" w:hAnsi="Times New Roman" w:cs="Times New Roman"/>
          <w:sz w:val="28"/>
          <w:szCs w:val="28"/>
        </w:rPr>
        <w:t>1,8</w:t>
      </w:r>
      <w:r w:rsidRPr="00133E07">
        <w:rPr>
          <w:rFonts w:ascii="Times New Roman" w:hAnsi="Times New Roman" w:cs="Times New Roman"/>
          <w:sz w:val="28"/>
          <w:szCs w:val="28"/>
        </w:rPr>
        <w:t>%.</w:t>
      </w:r>
    </w:p>
    <w:p w:rsidR="00644ACB" w:rsidRPr="00133E07" w:rsidRDefault="00644ACB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0B" w:rsidRPr="00133E07" w:rsidRDefault="00C9280B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Неналоговые доходы проекта бюджета</w:t>
      </w:r>
    </w:p>
    <w:p w:rsidR="0027754C" w:rsidRPr="00133E0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проекте бюджета на 201</w:t>
      </w:r>
      <w:r w:rsidR="0014762F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неналоговые доходы предусмотрены в сумме </w:t>
      </w:r>
      <w:r w:rsidR="0014762F" w:rsidRPr="00133E07">
        <w:rPr>
          <w:rFonts w:ascii="Times New Roman" w:hAnsi="Times New Roman" w:cs="Times New Roman"/>
          <w:sz w:val="28"/>
          <w:szCs w:val="28"/>
        </w:rPr>
        <w:t>468,0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, что </w:t>
      </w:r>
      <w:r w:rsidR="0014762F" w:rsidRPr="00133E07">
        <w:rPr>
          <w:rFonts w:ascii="Times New Roman" w:hAnsi="Times New Roman" w:cs="Times New Roman"/>
          <w:sz w:val="28"/>
          <w:szCs w:val="28"/>
        </w:rPr>
        <w:t>выше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уровня ожидаемого исполнения 201</w:t>
      </w:r>
      <w:r w:rsidR="0014762F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4762F" w:rsidRPr="00133E07">
        <w:rPr>
          <w:rFonts w:ascii="Times New Roman" w:hAnsi="Times New Roman" w:cs="Times New Roman"/>
          <w:sz w:val="28"/>
          <w:szCs w:val="28"/>
        </w:rPr>
        <w:t>466,0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14762F" w:rsidRPr="00133E07">
        <w:rPr>
          <w:rFonts w:ascii="Times New Roman" w:hAnsi="Times New Roman" w:cs="Times New Roman"/>
          <w:sz w:val="28"/>
          <w:szCs w:val="28"/>
        </w:rPr>
        <w:t>2,0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4762F" w:rsidRPr="00133E07">
        <w:rPr>
          <w:rFonts w:ascii="Times New Roman" w:hAnsi="Times New Roman" w:cs="Times New Roman"/>
          <w:sz w:val="28"/>
          <w:szCs w:val="28"/>
        </w:rPr>
        <w:t>0,4</w:t>
      </w:r>
      <w:r w:rsidRPr="00133E07">
        <w:rPr>
          <w:rFonts w:ascii="Times New Roman" w:hAnsi="Times New Roman" w:cs="Times New Roman"/>
          <w:sz w:val="28"/>
          <w:szCs w:val="28"/>
        </w:rPr>
        <w:t xml:space="preserve">% и </w:t>
      </w:r>
      <w:r w:rsidR="00AD4041" w:rsidRPr="00133E07">
        <w:rPr>
          <w:rFonts w:ascii="Times New Roman" w:hAnsi="Times New Roman" w:cs="Times New Roman"/>
          <w:sz w:val="28"/>
          <w:szCs w:val="28"/>
        </w:rPr>
        <w:t>выше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фактического поступления за 201</w:t>
      </w:r>
      <w:r w:rsidR="0014762F" w:rsidRPr="00133E07">
        <w:rPr>
          <w:rFonts w:ascii="Times New Roman" w:hAnsi="Times New Roman" w:cs="Times New Roman"/>
          <w:sz w:val="28"/>
          <w:szCs w:val="28"/>
        </w:rPr>
        <w:t>5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(</w:t>
      </w:r>
      <w:r w:rsidR="00AD4041" w:rsidRPr="00133E07">
        <w:rPr>
          <w:rFonts w:ascii="Times New Roman" w:hAnsi="Times New Roman" w:cs="Times New Roman"/>
          <w:sz w:val="28"/>
          <w:szCs w:val="28"/>
        </w:rPr>
        <w:t>109,4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AD4041" w:rsidRPr="00133E07">
        <w:rPr>
          <w:rFonts w:ascii="Times New Roman" w:hAnsi="Times New Roman" w:cs="Times New Roman"/>
          <w:sz w:val="28"/>
          <w:szCs w:val="28"/>
        </w:rPr>
        <w:t xml:space="preserve">358,6 </w:t>
      </w:r>
      <w:proofErr w:type="spellStart"/>
      <w:r w:rsidR="00AD4041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AD4041" w:rsidRPr="00133E07">
        <w:rPr>
          <w:rFonts w:ascii="Times New Roman" w:hAnsi="Times New Roman" w:cs="Times New Roman"/>
          <w:sz w:val="28"/>
          <w:szCs w:val="28"/>
        </w:rPr>
        <w:t>.</w:t>
      </w:r>
    </w:p>
    <w:p w:rsidR="0027754C" w:rsidRPr="00133E0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Проектом прогнозируется снижение неналоговых доходов, в том числе:</w:t>
      </w:r>
    </w:p>
    <w:p w:rsidR="0027754C" w:rsidRPr="00133E07" w:rsidRDefault="0027754C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-доходы от сдачи в аренду имущества запланированы в сумме </w:t>
      </w:r>
      <w:r w:rsidR="00AD4041" w:rsidRPr="00133E07">
        <w:rPr>
          <w:rFonts w:ascii="Times New Roman" w:hAnsi="Times New Roman" w:cs="Times New Roman"/>
          <w:sz w:val="28"/>
          <w:szCs w:val="28"/>
        </w:rPr>
        <w:t>448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, </w:t>
      </w:r>
      <w:r w:rsidR="00500079" w:rsidRPr="00133E07">
        <w:rPr>
          <w:rFonts w:ascii="Times New Roman" w:hAnsi="Times New Roman" w:cs="Times New Roman"/>
          <w:sz w:val="28"/>
          <w:szCs w:val="28"/>
        </w:rPr>
        <w:t xml:space="preserve">что </w:t>
      </w:r>
      <w:r w:rsidR="00AD4041" w:rsidRPr="00133E07">
        <w:rPr>
          <w:rFonts w:ascii="Times New Roman" w:hAnsi="Times New Roman" w:cs="Times New Roman"/>
          <w:sz w:val="28"/>
          <w:szCs w:val="28"/>
        </w:rPr>
        <w:t>выше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фактического поступления за 201</w:t>
      </w:r>
      <w:r w:rsidR="00AD4041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(</w:t>
      </w:r>
      <w:r w:rsidR="00AD4041" w:rsidRPr="00133E07">
        <w:rPr>
          <w:rFonts w:ascii="Times New Roman" w:hAnsi="Times New Roman" w:cs="Times New Roman"/>
          <w:sz w:val="28"/>
          <w:szCs w:val="28"/>
        </w:rPr>
        <w:t>447,0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) на </w:t>
      </w:r>
      <w:r w:rsidR="00AD4041" w:rsidRPr="00133E07">
        <w:rPr>
          <w:rFonts w:ascii="Times New Roman" w:hAnsi="Times New Roman" w:cs="Times New Roman"/>
          <w:sz w:val="28"/>
          <w:szCs w:val="28"/>
        </w:rPr>
        <w:t>1,0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D4041" w:rsidRPr="00133E07">
        <w:rPr>
          <w:rFonts w:ascii="Times New Roman" w:hAnsi="Times New Roman" w:cs="Times New Roman"/>
          <w:sz w:val="28"/>
          <w:szCs w:val="28"/>
        </w:rPr>
        <w:t>0,2</w:t>
      </w:r>
      <w:r w:rsidR="00500079" w:rsidRPr="00133E07">
        <w:rPr>
          <w:rFonts w:ascii="Times New Roman" w:hAnsi="Times New Roman" w:cs="Times New Roman"/>
          <w:sz w:val="28"/>
          <w:szCs w:val="28"/>
        </w:rPr>
        <w:t>%;</w:t>
      </w:r>
    </w:p>
    <w:p w:rsidR="00500079" w:rsidRPr="00133E07" w:rsidRDefault="00500079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-прочие доходы от оказ</w:t>
      </w:r>
      <w:r w:rsidR="00696C79" w:rsidRPr="00133E07">
        <w:rPr>
          <w:rFonts w:ascii="Times New Roman" w:hAnsi="Times New Roman" w:cs="Times New Roman"/>
          <w:sz w:val="28"/>
          <w:szCs w:val="28"/>
        </w:rPr>
        <w:t>ания платных услуг запланирован</w:t>
      </w:r>
      <w:r w:rsidRPr="00133E07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AD4041" w:rsidRPr="00133E07">
        <w:rPr>
          <w:rFonts w:ascii="Times New Roman" w:hAnsi="Times New Roman" w:cs="Times New Roman"/>
          <w:sz w:val="28"/>
          <w:szCs w:val="28"/>
        </w:rPr>
        <w:t>16,0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, что </w:t>
      </w:r>
      <w:r w:rsidR="00AD4041" w:rsidRPr="00133E07">
        <w:rPr>
          <w:rFonts w:ascii="Times New Roman" w:hAnsi="Times New Roman" w:cs="Times New Roman"/>
          <w:sz w:val="28"/>
          <w:szCs w:val="28"/>
        </w:rPr>
        <w:t>выше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фактического поступления за 201</w:t>
      </w:r>
      <w:r w:rsidR="00AD4041" w:rsidRPr="00133E07">
        <w:rPr>
          <w:rFonts w:ascii="Times New Roman" w:hAnsi="Times New Roman" w:cs="Times New Roman"/>
          <w:sz w:val="28"/>
          <w:szCs w:val="28"/>
        </w:rPr>
        <w:t>6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AD4041" w:rsidRPr="00133E07">
        <w:rPr>
          <w:rFonts w:ascii="Times New Roman" w:hAnsi="Times New Roman" w:cs="Times New Roman"/>
          <w:sz w:val="28"/>
          <w:szCs w:val="28"/>
        </w:rPr>
        <w:t>1,0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500079" w:rsidRPr="00133E07" w:rsidRDefault="00AD4041" w:rsidP="0027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-штрафы запланированы в сумме 4,0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27754C" w:rsidRPr="00133E07" w:rsidRDefault="0027754C" w:rsidP="00277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F8" w:rsidRDefault="00891FF8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0B" w:rsidRPr="00133E07" w:rsidRDefault="00C9280B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lastRenderedPageBreak/>
        <w:t>Безв</w:t>
      </w:r>
      <w:r w:rsidR="00D3072D" w:rsidRPr="00133E07">
        <w:rPr>
          <w:rFonts w:ascii="Times New Roman" w:hAnsi="Times New Roman" w:cs="Times New Roman"/>
          <w:b/>
          <w:sz w:val="28"/>
          <w:szCs w:val="28"/>
        </w:rPr>
        <w:t xml:space="preserve">озмездные поступления в бюджет </w:t>
      </w:r>
      <w:r w:rsidRPr="00133E0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91FF8" w:rsidRDefault="00891FF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80B" w:rsidRPr="00133E07" w:rsidRDefault="00C9280B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201</w:t>
      </w:r>
      <w:r w:rsidR="003C267F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году проектом бюджета </w:t>
      </w:r>
      <w:r w:rsidR="00E82DA7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предусматривается получение безвозмездных поступлений </w:t>
      </w:r>
      <w:r w:rsidR="00E82DA7" w:rsidRPr="00133E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13528" w:rsidRPr="00133E07">
        <w:rPr>
          <w:rFonts w:ascii="Times New Roman" w:hAnsi="Times New Roman" w:cs="Times New Roman"/>
          <w:sz w:val="28"/>
          <w:szCs w:val="28"/>
        </w:rPr>
        <w:t>1513,0</w:t>
      </w:r>
      <w:r w:rsidR="001B219B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19B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B219B" w:rsidRPr="00133E07">
        <w:rPr>
          <w:rFonts w:ascii="Times New Roman" w:hAnsi="Times New Roman" w:cs="Times New Roman"/>
          <w:sz w:val="28"/>
          <w:szCs w:val="28"/>
        </w:rPr>
        <w:t>.</w:t>
      </w:r>
      <w:r w:rsidRPr="00133E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</w:t>
      </w:r>
      <w:r w:rsidR="00E82DA7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B219B" w:rsidRPr="00133E0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3090D" w:rsidRPr="00133E07" w:rsidRDefault="00AF776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-с</w:t>
      </w:r>
      <w:r w:rsidR="0043090D" w:rsidRPr="00133E07">
        <w:rPr>
          <w:rFonts w:ascii="Times New Roman" w:hAnsi="Times New Roman" w:cs="Times New Roman"/>
          <w:sz w:val="28"/>
          <w:szCs w:val="28"/>
        </w:rPr>
        <w:t xml:space="preserve">убвенции бюджетам поселений на осуществление полномочий первичного воинского учета – </w:t>
      </w:r>
      <w:r w:rsidR="00813528" w:rsidRPr="00133E07">
        <w:rPr>
          <w:rFonts w:ascii="Times New Roman" w:hAnsi="Times New Roman" w:cs="Times New Roman"/>
          <w:sz w:val="28"/>
          <w:szCs w:val="28"/>
        </w:rPr>
        <w:t>74,4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</w:t>
      </w:r>
      <w:r w:rsidR="0043090D" w:rsidRPr="00133E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090D" w:rsidRPr="00133E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  <w:r w:rsidR="0043090D" w:rsidRPr="00133E07">
        <w:rPr>
          <w:rFonts w:ascii="Times New Roman" w:hAnsi="Times New Roman" w:cs="Times New Roman"/>
          <w:sz w:val="28"/>
          <w:szCs w:val="28"/>
        </w:rPr>
        <w:t>;</w:t>
      </w:r>
    </w:p>
    <w:p w:rsidR="0043090D" w:rsidRPr="00133E07" w:rsidRDefault="00AF7764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-с</w:t>
      </w:r>
      <w:r w:rsidR="0043090D" w:rsidRPr="00133E07">
        <w:rPr>
          <w:rFonts w:ascii="Times New Roman" w:hAnsi="Times New Roman" w:cs="Times New Roman"/>
          <w:sz w:val="28"/>
          <w:szCs w:val="28"/>
        </w:rPr>
        <w:t>убвенции бюджетам поселений на выполнение передаваемых полномочий</w:t>
      </w:r>
      <w:r w:rsidR="00B207DD" w:rsidRPr="00133E07">
        <w:rPr>
          <w:rFonts w:ascii="Times New Roman" w:hAnsi="Times New Roman" w:cs="Times New Roman"/>
          <w:sz w:val="28"/>
          <w:szCs w:val="28"/>
        </w:rPr>
        <w:t>-</w:t>
      </w:r>
      <w:r w:rsidR="0043090D" w:rsidRPr="00133E07">
        <w:rPr>
          <w:rFonts w:ascii="Times New Roman" w:hAnsi="Times New Roman" w:cs="Times New Roman"/>
          <w:sz w:val="28"/>
          <w:szCs w:val="28"/>
        </w:rPr>
        <w:t>3,</w:t>
      </w:r>
      <w:r w:rsidRPr="00133E0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</w:t>
      </w:r>
      <w:r w:rsidR="0043090D" w:rsidRPr="00133E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090D" w:rsidRPr="00133E07">
        <w:rPr>
          <w:rFonts w:ascii="Times New Roman" w:hAnsi="Times New Roman" w:cs="Times New Roman"/>
          <w:sz w:val="28"/>
          <w:szCs w:val="28"/>
        </w:rPr>
        <w:t>уб</w:t>
      </w:r>
      <w:r w:rsidR="00813528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813528" w:rsidRPr="00133E07">
        <w:rPr>
          <w:rFonts w:ascii="Times New Roman" w:hAnsi="Times New Roman" w:cs="Times New Roman"/>
          <w:sz w:val="28"/>
          <w:szCs w:val="28"/>
        </w:rPr>
        <w:t>;</w:t>
      </w:r>
    </w:p>
    <w:p w:rsidR="00813528" w:rsidRPr="00133E07" w:rsidRDefault="00813528" w:rsidP="00813528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-субсидии в сумме 721,3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0869E6" w:rsidRPr="00133E07" w:rsidRDefault="000869E6" w:rsidP="00813528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-дотации на выравнивание бюджетной обеспеченности в сумме </w:t>
      </w:r>
      <w:r w:rsidR="00813528" w:rsidRPr="00133E07">
        <w:rPr>
          <w:rFonts w:ascii="Times New Roman" w:hAnsi="Times New Roman" w:cs="Times New Roman"/>
          <w:sz w:val="28"/>
          <w:szCs w:val="28"/>
        </w:rPr>
        <w:t>543,5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ECE" w:rsidRPr="00133E07" w:rsidRDefault="001B219B" w:rsidP="00D765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F7764" w:rsidRPr="00133E07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133E07">
        <w:rPr>
          <w:rFonts w:ascii="Times New Roman" w:hAnsi="Times New Roman" w:cs="Times New Roman"/>
          <w:sz w:val="28"/>
          <w:szCs w:val="28"/>
        </w:rPr>
        <w:t xml:space="preserve"> в общей структуре доходов составляет </w:t>
      </w:r>
      <w:r w:rsidR="003C267F" w:rsidRPr="00133E07">
        <w:rPr>
          <w:rFonts w:ascii="Times New Roman" w:hAnsi="Times New Roman" w:cs="Times New Roman"/>
          <w:sz w:val="28"/>
          <w:szCs w:val="28"/>
        </w:rPr>
        <w:t>16,3</w:t>
      </w:r>
      <w:r w:rsidRPr="00133E07">
        <w:rPr>
          <w:rFonts w:ascii="Times New Roman" w:hAnsi="Times New Roman" w:cs="Times New Roman"/>
          <w:sz w:val="28"/>
          <w:szCs w:val="28"/>
        </w:rPr>
        <w:t>%.(рис.1).</w:t>
      </w:r>
    </w:p>
    <w:p w:rsidR="00212ECE" w:rsidRPr="00133E07" w:rsidRDefault="00212ECE" w:rsidP="00D765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3B96" w:rsidRPr="00133E07" w:rsidRDefault="00C93B96" w:rsidP="00C93B96">
      <w:pPr>
        <w:pStyle w:val="a4"/>
        <w:tabs>
          <w:tab w:val="left" w:pos="84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Таблица № 2</w:t>
      </w:r>
    </w:p>
    <w:p w:rsidR="00437EFA" w:rsidRPr="00133E07" w:rsidRDefault="00437EFA" w:rsidP="008540E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Динамика безвозмездных поступлений в бюджет</w:t>
      </w:r>
    </w:p>
    <w:p w:rsidR="009C6354" w:rsidRPr="00133E07" w:rsidRDefault="00437EFA" w:rsidP="008D523D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E07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Славянского район </w:t>
      </w:r>
    </w:p>
    <w:p w:rsidR="00F26D87" w:rsidRPr="00133E07" w:rsidRDefault="00437EFA" w:rsidP="008D523D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9C6354" w:rsidRPr="00133E07">
        <w:rPr>
          <w:rFonts w:ascii="Times New Roman" w:hAnsi="Times New Roman" w:cs="Times New Roman"/>
          <w:b/>
          <w:sz w:val="28"/>
          <w:szCs w:val="28"/>
        </w:rPr>
        <w:t>5</w:t>
      </w:r>
      <w:r w:rsidR="00E82DA7" w:rsidRPr="00133E07">
        <w:rPr>
          <w:rFonts w:ascii="Times New Roman" w:hAnsi="Times New Roman" w:cs="Times New Roman"/>
          <w:b/>
          <w:sz w:val="28"/>
          <w:szCs w:val="28"/>
        </w:rPr>
        <w:t>-201</w:t>
      </w:r>
      <w:r w:rsidR="009C6354" w:rsidRPr="00133E07">
        <w:rPr>
          <w:rFonts w:ascii="Times New Roman" w:hAnsi="Times New Roman" w:cs="Times New Roman"/>
          <w:b/>
          <w:sz w:val="28"/>
          <w:szCs w:val="28"/>
        </w:rPr>
        <w:t>7</w:t>
      </w:r>
      <w:r w:rsidRPr="00133E0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263BF" w:rsidRPr="00133E07" w:rsidRDefault="003263BF" w:rsidP="008D523D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14"/>
        <w:gridCol w:w="1531"/>
        <w:gridCol w:w="1324"/>
        <w:gridCol w:w="977"/>
        <w:gridCol w:w="1017"/>
        <w:gridCol w:w="756"/>
        <w:gridCol w:w="1017"/>
        <w:gridCol w:w="876"/>
      </w:tblGrid>
      <w:tr w:rsidR="008B4B92" w:rsidRPr="00133E07" w:rsidTr="003263BF">
        <w:trPr>
          <w:trHeight w:val="1095"/>
        </w:trPr>
        <w:tc>
          <w:tcPr>
            <w:tcW w:w="1560" w:type="dxa"/>
            <w:vMerge w:val="restart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4" w:type="dxa"/>
            <w:vMerge w:val="restart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Факт за 2015 год, тыс. руб.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2016 года</w:t>
            </w:r>
          </w:p>
        </w:tc>
        <w:tc>
          <w:tcPr>
            <w:tcW w:w="1324" w:type="dxa"/>
            <w:vMerge w:val="restart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</w:p>
        </w:tc>
        <w:tc>
          <w:tcPr>
            <w:tcW w:w="977" w:type="dxa"/>
            <w:vMerge w:val="restart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2017 год, т. р.</w:t>
            </w:r>
          </w:p>
        </w:tc>
        <w:tc>
          <w:tcPr>
            <w:tcW w:w="1773" w:type="dxa"/>
            <w:gridSpan w:val="2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Отклонения плана 2017 г. к </w:t>
            </w:r>
            <w:proofErr w:type="gramStart"/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ожидаемому</w:t>
            </w:r>
            <w:proofErr w:type="gramEnd"/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исполн.2016г.</w:t>
            </w:r>
          </w:p>
        </w:tc>
        <w:tc>
          <w:tcPr>
            <w:tcW w:w="1893" w:type="dxa"/>
            <w:gridSpan w:val="2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 плана 2017г. к исполнению 2015г.</w:t>
            </w:r>
          </w:p>
        </w:tc>
      </w:tr>
      <w:tr w:rsidR="008B4B92" w:rsidRPr="00133E07" w:rsidTr="003263BF">
        <w:trPr>
          <w:trHeight w:val="975"/>
        </w:trPr>
        <w:tc>
          <w:tcPr>
            <w:tcW w:w="1560" w:type="dxa"/>
            <w:vMerge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исполнение</w:t>
            </w:r>
            <w:proofErr w:type="gramStart"/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р.</w:t>
            </w:r>
          </w:p>
        </w:tc>
        <w:tc>
          <w:tcPr>
            <w:tcW w:w="1324" w:type="dxa"/>
            <w:vMerge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т. р.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т. р.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4B92" w:rsidRPr="00133E07" w:rsidTr="003263BF">
        <w:trPr>
          <w:trHeight w:val="315"/>
        </w:trPr>
        <w:tc>
          <w:tcPr>
            <w:tcW w:w="1560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</w:t>
            </w:r>
          </w:p>
        </w:tc>
        <w:tc>
          <w:tcPr>
            <w:tcW w:w="111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32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-474,5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53,39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108,35</w:t>
            </w:r>
          </w:p>
        </w:tc>
      </w:tr>
      <w:tr w:rsidR="008B4B92" w:rsidRPr="00133E07" w:rsidTr="003263BF">
        <w:trPr>
          <w:trHeight w:val="315"/>
        </w:trPr>
        <w:tc>
          <w:tcPr>
            <w:tcW w:w="1560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111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2 213,6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717,5</w:t>
            </w:r>
          </w:p>
        </w:tc>
        <w:tc>
          <w:tcPr>
            <w:tcW w:w="132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721,3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-1492,3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</w:tr>
      <w:tr w:rsidR="008B4B92" w:rsidRPr="00133E07" w:rsidTr="003263BF">
        <w:trPr>
          <w:trHeight w:val="315"/>
        </w:trPr>
        <w:tc>
          <w:tcPr>
            <w:tcW w:w="1560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</w:t>
            </w:r>
          </w:p>
        </w:tc>
        <w:tc>
          <w:tcPr>
            <w:tcW w:w="111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32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97,63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-107,4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</w:tr>
      <w:tr w:rsidR="008B4B92" w:rsidRPr="00133E07" w:rsidTr="003263BF">
        <w:trPr>
          <w:trHeight w:val="1005"/>
        </w:trPr>
        <w:tc>
          <w:tcPr>
            <w:tcW w:w="1560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1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32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-18,4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90,23</w:t>
            </w:r>
          </w:p>
        </w:tc>
      </w:tr>
      <w:tr w:rsidR="008B4B92" w:rsidRPr="00133E07" w:rsidTr="003263BF">
        <w:trPr>
          <w:trHeight w:val="315"/>
        </w:trPr>
        <w:tc>
          <w:tcPr>
            <w:tcW w:w="1560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111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-45,7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-201,9</w:t>
            </w:r>
          </w:p>
        </w:tc>
        <w:tc>
          <w:tcPr>
            <w:tcW w:w="132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4B92" w:rsidRPr="00133E07" w:rsidTr="003263BF">
        <w:trPr>
          <w:trHeight w:val="315"/>
        </w:trPr>
        <w:tc>
          <w:tcPr>
            <w:tcW w:w="1560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3 043,5</w:t>
            </w:r>
          </w:p>
        </w:tc>
        <w:tc>
          <w:tcPr>
            <w:tcW w:w="1531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1 778,7</w:t>
            </w:r>
          </w:p>
        </w:tc>
        <w:tc>
          <w:tcPr>
            <w:tcW w:w="1324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7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1 513,0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-265,7</w:t>
            </w:r>
          </w:p>
        </w:tc>
        <w:tc>
          <w:tcPr>
            <w:tcW w:w="75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85,06</w:t>
            </w:r>
          </w:p>
        </w:tc>
        <w:tc>
          <w:tcPr>
            <w:tcW w:w="1017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-1530,5</w:t>
            </w:r>
          </w:p>
        </w:tc>
        <w:tc>
          <w:tcPr>
            <w:tcW w:w="876" w:type="dxa"/>
            <w:hideMark/>
          </w:tcPr>
          <w:p w:rsidR="004C1E21" w:rsidRPr="00133E07" w:rsidRDefault="004C1E21" w:rsidP="004C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07">
              <w:rPr>
                <w:rFonts w:ascii="Times New Roman" w:hAnsi="Times New Roman" w:cs="Times New Roman"/>
                <w:b/>
                <w:sz w:val="24"/>
                <w:szCs w:val="24"/>
              </w:rPr>
              <w:t>49,71</w:t>
            </w:r>
          </w:p>
        </w:tc>
      </w:tr>
    </w:tbl>
    <w:p w:rsidR="004C1E21" w:rsidRPr="00133E07" w:rsidRDefault="004C1E21" w:rsidP="00087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14" w:tblpY="1"/>
        <w:tblOverlap w:val="never"/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707F7" w:rsidRPr="00133E07" w:rsidTr="0008700C">
        <w:trPr>
          <w:trHeight w:val="103"/>
        </w:trPr>
        <w:tc>
          <w:tcPr>
            <w:tcW w:w="9778" w:type="dxa"/>
          </w:tcPr>
          <w:p w:rsidR="0008700C" w:rsidRPr="00133E07" w:rsidRDefault="0008700C" w:rsidP="00D90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2E8" w:rsidRPr="00133E07" w:rsidRDefault="00E722E8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актов.</w:t>
      </w: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Действующие обязательства сельского поселения подтверждены муниципальными правовыми актами и отражены в реестре расходных </w:t>
      </w:r>
      <w:r w:rsidRPr="00133E07">
        <w:rPr>
          <w:rFonts w:ascii="Times New Roman" w:hAnsi="Times New Roman" w:cs="Times New Roman"/>
          <w:sz w:val="28"/>
          <w:szCs w:val="28"/>
        </w:rPr>
        <w:lastRenderedPageBreak/>
        <w:t>обязательств, сформированном, согласно требованиям ст. 87 Бюджетного кодекса РФ.</w:t>
      </w:r>
    </w:p>
    <w:p w:rsidR="008B4B9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Расходные обязательства разработаны по кодам классификации, 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 xml:space="preserve"> Минфина России от 1 июля 2013 года №65н «Об утверждении указаний о порядке применения бюджетной классификации Российской Федерации, с учетом изменений и дополнений». </w:t>
      </w:r>
    </w:p>
    <w:p w:rsidR="00545132" w:rsidRPr="00133E07" w:rsidRDefault="008B4B92" w:rsidP="008B4B92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132" w:rsidRPr="00133E07">
        <w:rPr>
          <w:rFonts w:ascii="Times New Roman" w:hAnsi="Times New Roman" w:cs="Times New Roman"/>
          <w:sz w:val="28"/>
          <w:szCs w:val="28"/>
        </w:rPr>
        <w:t>Расходы по обязательствам бюджета на 201</w:t>
      </w:r>
      <w:r w:rsidRPr="00133E07">
        <w:rPr>
          <w:rFonts w:ascii="Times New Roman" w:hAnsi="Times New Roman" w:cs="Times New Roman"/>
          <w:sz w:val="28"/>
          <w:szCs w:val="28"/>
        </w:rPr>
        <w:t>7</w:t>
      </w:r>
      <w:r w:rsidR="00545132" w:rsidRPr="00133E07">
        <w:rPr>
          <w:rFonts w:ascii="Times New Roman" w:hAnsi="Times New Roman" w:cs="Times New Roman"/>
          <w:sz w:val="28"/>
          <w:szCs w:val="28"/>
        </w:rPr>
        <w:t xml:space="preserve"> год спрогнозированы в сумме </w:t>
      </w:r>
      <w:r w:rsidR="005C3BF8" w:rsidRPr="00133E07">
        <w:rPr>
          <w:rFonts w:ascii="Times New Roman" w:hAnsi="Times New Roman" w:cs="Times New Roman"/>
          <w:sz w:val="28"/>
          <w:szCs w:val="28"/>
        </w:rPr>
        <w:t>9319,0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3D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D523D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523D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D523D" w:rsidRPr="00133E07">
        <w:rPr>
          <w:rFonts w:ascii="Times New Roman" w:hAnsi="Times New Roman" w:cs="Times New Roman"/>
          <w:sz w:val="28"/>
          <w:szCs w:val="28"/>
        </w:rPr>
        <w:t>, что ниже ожидаемого поступления за 201</w:t>
      </w:r>
      <w:r w:rsidR="005C3BF8" w:rsidRPr="00133E07">
        <w:rPr>
          <w:rFonts w:ascii="Times New Roman" w:hAnsi="Times New Roman" w:cs="Times New Roman"/>
          <w:sz w:val="28"/>
          <w:szCs w:val="28"/>
        </w:rPr>
        <w:t>6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год </w:t>
      </w:r>
      <w:r w:rsidR="005C3BF8" w:rsidRPr="00133E07">
        <w:rPr>
          <w:rFonts w:ascii="Times New Roman" w:hAnsi="Times New Roman" w:cs="Times New Roman"/>
          <w:sz w:val="28"/>
          <w:szCs w:val="28"/>
        </w:rPr>
        <w:t>на 622,3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3D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D523D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C3BF8" w:rsidRPr="00133E07">
        <w:rPr>
          <w:rFonts w:ascii="Times New Roman" w:hAnsi="Times New Roman" w:cs="Times New Roman"/>
          <w:sz w:val="28"/>
          <w:szCs w:val="28"/>
        </w:rPr>
        <w:t>6,3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% и ниже фактического поступления за 201</w:t>
      </w:r>
      <w:r w:rsidR="005C3BF8" w:rsidRPr="00133E07">
        <w:rPr>
          <w:rFonts w:ascii="Times New Roman" w:hAnsi="Times New Roman" w:cs="Times New Roman"/>
          <w:sz w:val="28"/>
          <w:szCs w:val="28"/>
        </w:rPr>
        <w:t>5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год </w:t>
      </w:r>
      <w:r w:rsidR="005C3BF8" w:rsidRPr="00133E07">
        <w:rPr>
          <w:rFonts w:ascii="Times New Roman" w:hAnsi="Times New Roman" w:cs="Times New Roman"/>
          <w:sz w:val="28"/>
          <w:szCs w:val="28"/>
        </w:rPr>
        <w:t xml:space="preserve">на 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5C3BF8" w:rsidRPr="00133E07">
        <w:rPr>
          <w:rFonts w:ascii="Times New Roman" w:hAnsi="Times New Roman" w:cs="Times New Roman"/>
          <w:sz w:val="28"/>
          <w:szCs w:val="28"/>
        </w:rPr>
        <w:t>3211,3</w:t>
      </w:r>
      <w:r w:rsidR="008D523D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3D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D523D" w:rsidRPr="00133E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C3BF8" w:rsidRPr="00133E07">
        <w:rPr>
          <w:rFonts w:ascii="Times New Roman" w:hAnsi="Times New Roman" w:cs="Times New Roman"/>
          <w:sz w:val="28"/>
          <w:szCs w:val="28"/>
        </w:rPr>
        <w:t>25,6</w:t>
      </w:r>
      <w:r w:rsidR="008D523D" w:rsidRPr="00133E07">
        <w:rPr>
          <w:rFonts w:ascii="Times New Roman" w:hAnsi="Times New Roman" w:cs="Times New Roman"/>
          <w:sz w:val="28"/>
          <w:szCs w:val="28"/>
        </w:rPr>
        <w:t>%</w:t>
      </w:r>
      <w:r w:rsidR="001A63E4" w:rsidRPr="00133E07">
        <w:rPr>
          <w:rFonts w:ascii="Times New Roman" w:hAnsi="Times New Roman" w:cs="Times New Roman"/>
          <w:sz w:val="28"/>
          <w:szCs w:val="28"/>
        </w:rPr>
        <w:t>.</w:t>
      </w:r>
    </w:p>
    <w:p w:rsidR="00545132" w:rsidRPr="00133E07" w:rsidRDefault="00545132" w:rsidP="00FC7058">
      <w:pPr>
        <w:tabs>
          <w:tab w:val="left" w:pos="708"/>
          <w:tab w:val="left" w:pos="1416"/>
          <w:tab w:val="left" w:pos="7900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ab/>
      </w:r>
      <w:r w:rsidR="00FC7058" w:rsidRPr="00133E07">
        <w:rPr>
          <w:rFonts w:ascii="Times New Roman" w:hAnsi="Times New Roman" w:cs="Times New Roman"/>
          <w:sz w:val="28"/>
          <w:szCs w:val="28"/>
        </w:rPr>
        <w:tab/>
        <w:t>Рис.2</w:t>
      </w: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32" w:rsidRPr="00133E07" w:rsidRDefault="00362BFE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F49B1A" wp14:editId="38EF1F38">
            <wp:extent cx="5473700" cy="3238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2BFE" w:rsidRPr="00133E07" w:rsidRDefault="00362BFE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занимают расходы 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:</w:t>
      </w: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-общегосударственные вопросы-</w:t>
      </w:r>
      <w:r w:rsidR="00120152" w:rsidRPr="00133E07">
        <w:rPr>
          <w:rFonts w:ascii="Times New Roman" w:hAnsi="Times New Roman" w:cs="Times New Roman"/>
          <w:sz w:val="28"/>
          <w:szCs w:val="28"/>
        </w:rPr>
        <w:t>48,</w:t>
      </w:r>
      <w:r w:rsidR="00C5443F" w:rsidRPr="00133E07">
        <w:rPr>
          <w:rFonts w:ascii="Times New Roman" w:hAnsi="Times New Roman" w:cs="Times New Roman"/>
          <w:sz w:val="28"/>
          <w:szCs w:val="28"/>
        </w:rPr>
        <w:t>83</w:t>
      </w:r>
      <w:r w:rsidRPr="00133E07">
        <w:rPr>
          <w:rFonts w:ascii="Times New Roman" w:hAnsi="Times New Roman" w:cs="Times New Roman"/>
          <w:sz w:val="28"/>
          <w:szCs w:val="28"/>
        </w:rPr>
        <w:t>%;</w:t>
      </w: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-национальную экономику-</w:t>
      </w:r>
      <w:r w:rsidR="00C5443F" w:rsidRPr="00133E07">
        <w:rPr>
          <w:rFonts w:ascii="Times New Roman" w:hAnsi="Times New Roman" w:cs="Times New Roman"/>
          <w:sz w:val="28"/>
          <w:szCs w:val="28"/>
        </w:rPr>
        <w:t>16,4</w:t>
      </w:r>
      <w:r w:rsidRPr="00133E07">
        <w:rPr>
          <w:rFonts w:ascii="Times New Roman" w:hAnsi="Times New Roman" w:cs="Times New Roman"/>
          <w:sz w:val="28"/>
          <w:szCs w:val="28"/>
        </w:rPr>
        <w:t>%;</w:t>
      </w:r>
    </w:p>
    <w:p w:rsidR="00C5443F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C5443F" w:rsidRPr="00133E07">
        <w:rPr>
          <w:rFonts w:ascii="Times New Roman" w:hAnsi="Times New Roman" w:cs="Times New Roman"/>
          <w:sz w:val="28"/>
          <w:szCs w:val="28"/>
        </w:rPr>
        <w:t>-жкх-8,52%</w:t>
      </w:r>
    </w:p>
    <w:p w:rsidR="00545132" w:rsidRPr="00133E07" w:rsidRDefault="00C5443F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545132" w:rsidRPr="00133E07">
        <w:rPr>
          <w:rFonts w:ascii="Times New Roman" w:hAnsi="Times New Roman" w:cs="Times New Roman"/>
          <w:sz w:val="28"/>
          <w:szCs w:val="28"/>
        </w:rPr>
        <w:t>-культуру-</w:t>
      </w:r>
      <w:r w:rsidR="00120152" w:rsidRPr="00133E07">
        <w:rPr>
          <w:rFonts w:ascii="Times New Roman" w:hAnsi="Times New Roman" w:cs="Times New Roman"/>
          <w:sz w:val="28"/>
          <w:szCs w:val="28"/>
        </w:rPr>
        <w:t>22</w:t>
      </w:r>
      <w:r w:rsidRPr="00133E07">
        <w:rPr>
          <w:rFonts w:ascii="Times New Roman" w:hAnsi="Times New Roman" w:cs="Times New Roman"/>
          <w:sz w:val="28"/>
          <w:szCs w:val="28"/>
        </w:rPr>
        <w:t>,5</w:t>
      </w:r>
      <w:r w:rsidR="00545132" w:rsidRPr="00133E07">
        <w:rPr>
          <w:rFonts w:ascii="Times New Roman" w:hAnsi="Times New Roman" w:cs="Times New Roman"/>
          <w:sz w:val="28"/>
          <w:szCs w:val="28"/>
        </w:rPr>
        <w:t>%.</w:t>
      </w: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32" w:rsidRPr="00133E07" w:rsidRDefault="00545132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Данные о динамике расходов бюджета сельского поселения за период 201</w:t>
      </w:r>
      <w:r w:rsidR="00C5443F" w:rsidRPr="00133E07">
        <w:rPr>
          <w:rFonts w:ascii="Times New Roman" w:hAnsi="Times New Roman" w:cs="Times New Roman"/>
          <w:sz w:val="28"/>
          <w:szCs w:val="28"/>
        </w:rPr>
        <w:t>5</w:t>
      </w:r>
      <w:r w:rsidRPr="00133E07">
        <w:rPr>
          <w:rFonts w:ascii="Times New Roman" w:hAnsi="Times New Roman" w:cs="Times New Roman"/>
          <w:sz w:val="28"/>
          <w:szCs w:val="28"/>
        </w:rPr>
        <w:t>-201</w:t>
      </w:r>
      <w:r w:rsidR="00C5443F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годов приведены в таблице №3. </w:t>
      </w: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E07" w:rsidRPr="00133E07" w:rsidRDefault="00133E07" w:rsidP="00545132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4"/>
        <w:gridCol w:w="708"/>
        <w:gridCol w:w="709"/>
        <w:gridCol w:w="709"/>
        <w:gridCol w:w="2669"/>
        <w:gridCol w:w="236"/>
        <w:gridCol w:w="236"/>
        <w:gridCol w:w="2308"/>
        <w:gridCol w:w="236"/>
        <w:gridCol w:w="227"/>
        <w:gridCol w:w="9"/>
        <w:gridCol w:w="236"/>
        <w:gridCol w:w="236"/>
        <w:gridCol w:w="239"/>
      </w:tblGrid>
      <w:tr w:rsidR="009C7849" w:rsidRPr="00133E07" w:rsidTr="00B207DD">
        <w:trPr>
          <w:gridAfter w:val="4"/>
          <w:wAfter w:w="720" w:type="dxa"/>
          <w:trHeight w:val="79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026" w:rsidRPr="00133E07" w:rsidRDefault="005F7026" w:rsidP="005F7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</w:t>
            </w:r>
            <w:r w:rsidR="00253413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133E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Таблица №</w:t>
            </w:r>
            <w:r w:rsidR="00253413" w:rsidRPr="00133E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C7849" w:rsidRPr="00133E07" w:rsidRDefault="005F7026" w:rsidP="009C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9C7849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Динамика расходов бюджета </w:t>
            </w:r>
            <w:proofErr w:type="spellStart"/>
            <w:r w:rsidR="009C7849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Прикубанского</w:t>
            </w:r>
            <w:proofErr w:type="spellEnd"/>
          </w:p>
          <w:p w:rsidR="009C7849" w:rsidRPr="00133E07" w:rsidRDefault="009C7849" w:rsidP="00C5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сельского поселения Славянского района за 201</w:t>
            </w:r>
            <w:r w:rsidR="00C5443F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</w:t>
            </w:r>
            <w:r w:rsidR="00C5443F"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33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B207DD" w:rsidRPr="00133E07" w:rsidTr="00B207DD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49" w:rsidRPr="00133E07" w:rsidRDefault="009C7849" w:rsidP="009C78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C7849" w:rsidRPr="00133E07" w:rsidRDefault="009C7849" w:rsidP="00ED22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851"/>
        <w:gridCol w:w="992"/>
        <w:gridCol w:w="850"/>
        <w:gridCol w:w="851"/>
        <w:gridCol w:w="992"/>
        <w:gridCol w:w="709"/>
        <w:gridCol w:w="1134"/>
        <w:gridCol w:w="992"/>
      </w:tblGrid>
      <w:tr w:rsidR="0063290E" w:rsidRPr="00133E07" w:rsidTr="0063290E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2015 год, т. р.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2016г.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2017г.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Отклонения к 2015 году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Отклонения к  </w:t>
            </w:r>
            <w:proofErr w:type="spellStart"/>
            <w:r w:rsidRPr="00133E0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</w:t>
            </w:r>
            <w:proofErr w:type="spellEnd"/>
            <w:r w:rsidRPr="00133E0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133E0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исполнен</w:t>
            </w:r>
            <w:proofErr w:type="gramEnd"/>
            <w:r w:rsidRPr="00133E0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2016г.</w:t>
            </w:r>
          </w:p>
        </w:tc>
      </w:tr>
      <w:tr w:rsidR="0063290E" w:rsidRPr="00133E07" w:rsidTr="0063290E">
        <w:trPr>
          <w:trHeight w:val="230"/>
        </w:trPr>
        <w:tc>
          <w:tcPr>
            <w:tcW w:w="2283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3290E" w:rsidRPr="00133E07" w:rsidTr="0063290E">
        <w:trPr>
          <w:trHeight w:val="660"/>
        </w:trPr>
        <w:tc>
          <w:tcPr>
            <w:tcW w:w="2283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3290E" w:rsidRPr="00133E07" w:rsidTr="0063290E">
        <w:trPr>
          <w:trHeight w:val="600"/>
        </w:trPr>
        <w:tc>
          <w:tcPr>
            <w:tcW w:w="2283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3290E" w:rsidRPr="00133E07" w:rsidTr="0063290E">
        <w:trPr>
          <w:trHeight w:val="495"/>
        </w:trPr>
        <w:tc>
          <w:tcPr>
            <w:tcW w:w="2283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992 Администрация </w:t>
            </w:r>
            <w:proofErr w:type="spellStart"/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Прикубанского</w:t>
            </w:r>
            <w:proofErr w:type="spellEnd"/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Славянского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63290E" w:rsidRPr="00133E07" w:rsidTr="0063290E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4 299,9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4 549,8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-1 083,1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105,8</w:t>
            </w:r>
          </w:p>
        </w:tc>
      </w:tr>
      <w:tr w:rsidR="0063290E" w:rsidRPr="00133E07" w:rsidTr="0063290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-112,4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70,6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79,4</w:t>
            </w:r>
          </w:p>
        </w:tc>
      </w:tr>
      <w:tr w:rsidR="0063290E" w:rsidRPr="00133E07" w:rsidTr="0063290E">
        <w:trPr>
          <w:trHeight w:val="1035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2 412,2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1 613,2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1 829,8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-582,4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75,9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216,6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113,4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121,5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108,3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50,0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2 827,6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2 332,7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2 436,0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-391,6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104,4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-107,4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97,5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-107,4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97,5</w:t>
            </w:r>
          </w:p>
        </w:tc>
      </w:tr>
      <w:tr w:rsidR="0063290E" w:rsidRPr="00133E07" w:rsidTr="0063290E">
        <w:trPr>
          <w:trHeight w:val="510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-226,7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50,0</w:t>
            </w:r>
          </w:p>
        </w:tc>
      </w:tr>
      <w:tr w:rsidR="0063290E" w:rsidRPr="00133E07" w:rsidTr="0063290E">
        <w:trPr>
          <w:trHeight w:val="76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-229,7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111,1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42,3</w:t>
            </w:r>
          </w:p>
        </w:tc>
      </w:tr>
      <w:tr w:rsidR="0063290E" w:rsidRPr="00133E07" w:rsidTr="0063290E">
        <w:trPr>
          <w:trHeight w:val="510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-738,3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100,9</w:t>
            </w:r>
          </w:p>
        </w:tc>
      </w:tr>
      <w:tr w:rsidR="0063290E" w:rsidRPr="00133E07" w:rsidTr="0063290E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2 243,8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1 508,0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1 524,0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-719,8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101,1</w:t>
            </w:r>
          </w:p>
        </w:tc>
      </w:tr>
      <w:tr w:rsidR="0063290E" w:rsidRPr="00133E07" w:rsidTr="0063290E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-18,5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33,3</w:t>
            </w:r>
          </w:p>
        </w:tc>
      </w:tr>
      <w:tr w:rsidR="0063290E" w:rsidRPr="00133E07" w:rsidTr="0063290E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-351,1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69,3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130,1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142,1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103,3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352,4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720,1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-365,1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49,3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3 000,0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3 000,0</w:t>
            </w:r>
          </w:p>
        </w:tc>
      </w:tr>
      <w:tr w:rsidR="0063290E" w:rsidRPr="00133E07" w:rsidTr="0063290E">
        <w:trPr>
          <w:trHeight w:val="525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2 682,6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-709,2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-492,8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81,6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 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2 899,0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2 682,6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2 189,8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-709,2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-492,8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81,6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4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-65,4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60,5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-73,9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-65,4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60,5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63290E" w:rsidRPr="00133E07" w:rsidTr="0063290E">
        <w:trPr>
          <w:trHeight w:val="525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63290E" w:rsidRPr="00133E07" w:rsidTr="0063290E">
        <w:trPr>
          <w:trHeight w:val="525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-437,4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63290E" w:rsidRPr="00133E07" w:rsidTr="0063290E">
        <w:trPr>
          <w:trHeight w:val="330"/>
        </w:trPr>
        <w:tc>
          <w:tcPr>
            <w:tcW w:w="2283" w:type="dxa"/>
            <w:shd w:val="clear" w:color="auto" w:fill="auto"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-437,4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63290E" w:rsidRPr="00133E07" w:rsidTr="0063290E">
        <w:trPr>
          <w:trHeight w:val="31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3290E" w:rsidRPr="00133E07" w:rsidRDefault="0063290E" w:rsidP="006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12 530,3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9 319,0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-3 211,3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-622,3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290E" w:rsidRPr="00133E07" w:rsidRDefault="0063290E" w:rsidP="006329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33E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93,7</w:t>
            </w:r>
          </w:p>
        </w:tc>
      </w:tr>
    </w:tbl>
    <w:p w:rsidR="00120152" w:rsidRPr="00133E07" w:rsidRDefault="00120152" w:rsidP="00ED22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5443F" w:rsidRPr="00133E07" w:rsidRDefault="00C5443F" w:rsidP="00ED22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C5443F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C5443F" w:rsidRPr="00133E07">
        <w:rPr>
          <w:rFonts w:ascii="Times New Roman" w:hAnsi="Times New Roman" w:cs="Times New Roman"/>
          <w:sz w:val="28"/>
          <w:szCs w:val="28"/>
        </w:rPr>
        <w:t>4549,8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, из них: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Данный раздел включает расходы на следующие мероприятия:</w:t>
      </w:r>
    </w:p>
    <w:p w:rsidR="00C5443F" w:rsidRPr="00133E07" w:rsidRDefault="00C5443F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-обеспечение деятельности главы муниципального образования </w:t>
      </w:r>
      <w:r w:rsidR="00A0392B" w:rsidRPr="00133E07">
        <w:rPr>
          <w:rFonts w:ascii="Times New Roman" w:hAnsi="Times New Roman" w:cs="Times New Roman"/>
          <w:sz w:val="28"/>
          <w:szCs w:val="28"/>
        </w:rPr>
        <w:t xml:space="preserve">в сумме 270,0 </w:t>
      </w:r>
      <w:proofErr w:type="spellStart"/>
      <w:r w:rsidR="00A0392B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392B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392B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0392B" w:rsidRPr="00133E07">
        <w:rPr>
          <w:rFonts w:ascii="Times New Roman" w:hAnsi="Times New Roman" w:cs="Times New Roman"/>
          <w:sz w:val="28"/>
          <w:szCs w:val="28"/>
        </w:rPr>
        <w:t>;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-содержание органов местного самоуправления с учетом строгой экономии средств, предусматриваются средства в сумме </w:t>
      </w:r>
      <w:r w:rsidR="00C5443F" w:rsidRPr="00133E07">
        <w:rPr>
          <w:rFonts w:ascii="Times New Roman" w:hAnsi="Times New Roman" w:cs="Times New Roman"/>
          <w:sz w:val="28"/>
          <w:szCs w:val="28"/>
        </w:rPr>
        <w:t>1829,8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-расходы по резервному фонду администрации предусмотрены в пределах нормативов согласно Бюджетному кодексу Российской Федерации и составляют </w:t>
      </w:r>
      <w:r w:rsidR="00C5443F" w:rsidRPr="00133E07">
        <w:rPr>
          <w:rFonts w:ascii="Times New Roman" w:hAnsi="Times New Roman" w:cs="Times New Roman"/>
          <w:sz w:val="28"/>
          <w:szCs w:val="28"/>
        </w:rPr>
        <w:t>1</w:t>
      </w:r>
      <w:r w:rsidR="002A757C" w:rsidRPr="00133E07">
        <w:rPr>
          <w:rFonts w:ascii="Times New Roman" w:hAnsi="Times New Roman" w:cs="Times New Roman"/>
          <w:sz w:val="28"/>
          <w:szCs w:val="28"/>
        </w:rPr>
        <w:t>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-на передачу полномочий по обеспечению деятельности контрольно-счетной палаты предусматриваются средства в сумме </w:t>
      </w:r>
      <w:r w:rsidR="002A757C" w:rsidRPr="00133E07">
        <w:rPr>
          <w:rFonts w:ascii="Times New Roman" w:hAnsi="Times New Roman" w:cs="Times New Roman"/>
          <w:sz w:val="28"/>
          <w:szCs w:val="28"/>
        </w:rPr>
        <w:t>1</w:t>
      </w:r>
      <w:r w:rsidR="00C5443F" w:rsidRPr="00133E07">
        <w:rPr>
          <w:rFonts w:ascii="Times New Roman" w:hAnsi="Times New Roman" w:cs="Times New Roman"/>
          <w:sz w:val="28"/>
          <w:szCs w:val="28"/>
        </w:rPr>
        <w:t>3</w:t>
      </w:r>
      <w:r w:rsidR="002A757C" w:rsidRPr="00133E07">
        <w:rPr>
          <w:rFonts w:ascii="Times New Roman" w:hAnsi="Times New Roman" w:cs="Times New Roman"/>
          <w:sz w:val="28"/>
          <w:szCs w:val="28"/>
        </w:rPr>
        <w:t>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Кроме того, в данном разделе предусмотрены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3,8            тыс. рублей.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составе других общегосударственных вопросов учтены расходы: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 на содержание муниципального казенного учреждения «</w:t>
      </w:r>
      <w:proofErr w:type="spellStart"/>
      <w:r w:rsidR="002A757C" w:rsidRPr="00133E07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="002A757C" w:rsidRPr="00133E07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133E07">
        <w:rPr>
          <w:rFonts w:ascii="Times New Roman" w:hAnsi="Times New Roman" w:cs="Times New Roman"/>
          <w:sz w:val="28"/>
          <w:szCs w:val="28"/>
        </w:rPr>
        <w:t xml:space="preserve">» в сумме    </w:t>
      </w:r>
      <w:r w:rsidR="00C5443F" w:rsidRPr="00133E07">
        <w:rPr>
          <w:rFonts w:ascii="Times New Roman" w:hAnsi="Times New Roman" w:cs="Times New Roman"/>
          <w:sz w:val="28"/>
          <w:szCs w:val="28"/>
        </w:rPr>
        <w:t>2425,0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C5443F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Pr="00133E07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74,4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A0392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запланированы в 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4</w:t>
      </w:r>
      <w:r w:rsidR="005633DE" w:rsidRPr="00133E07">
        <w:rPr>
          <w:rFonts w:ascii="Times New Roman" w:hAnsi="Times New Roman" w:cs="Times New Roman"/>
          <w:sz w:val="28"/>
          <w:szCs w:val="28"/>
        </w:rPr>
        <w:t>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 Данные расходы предусматриваю расходы на мероприятия по предупреждению и ликвидации последствий чрезвычайных ситуаций.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A0392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5633DE" w:rsidRPr="00133E07">
        <w:rPr>
          <w:rFonts w:ascii="Times New Roman" w:hAnsi="Times New Roman" w:cs="Times New Roman"/>
          <w:sz w:val="28"/>
          <w:szCs w:val="28"/>
        </w:rPr>
        <w:t>сумме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0392B" w:rsidRPr="00133E07">
        <w:rPr>
          <w:rFonts w:ascii="Times New Roman" w:hAnsi="Times New Roman" w:cs="Times New Roman"/>
          <w:sz w:val="28"/>
          <w:szCs w:val="28"/>
        </w:rPr>
        <w:t>1525,0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 включают в себя расходы:</w:t>
      </w:r>
    </w:p>
    <w:p w:rsidR="003D29C3" w:rsidRPr="00133E0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-на проведение ремонтных работ за счет средств дорожного фонда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1525,0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3D29C3" w:rsidRPr="00133E0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-мероприятия по землеустройству и землепользованию в 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1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3D29C3" w:rsidRPr="00133E0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В </w:t>
      </w:r>
      <w:r w:rsidR="0071632B" w:rsidRPr="00133E07">
        <w:rPr>
          <w:rFonts w:ascii="Times New Roman" w:hAnsi="Times New Roman" w:cs="Times New Roman"/>
          <w:sz w:val="28"/>
          <w:szCs w:val="28"/>
        </w:rPr>
        <w:t xml:space="preserve">структуре расходов по </w:t>
      </w:r>
      <w:r w:rsidRPr="00133E07">
        <w:rPr>
          <w:rFonts w:ascii="Times New Roman" w:hAnsi="Times New Roman" w:cs="Times New Roman"/>
          <w:sz w:val="28"/>
          <w:szCs w:val="28"/>
        </w:rPr>
        <w:t>данн</w:t>
      </w:r>
      <w:r w:rsidR="0071632B" w:rsidRPr="00133E07">
        <w:rPr>
          <w:rFonts w:ascii="Times New Roman" w:hAnsi="Times New Roman" w:cs="Times New Roman"/>
          <w:sz w:val="28"/>
          <w:szCs w:val="28"/>
        </w:rPr>
        <w:t>ому</w:t>
      </w:r>
      <w:r w:rsidRPr="00133E0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1632B" w:rsidRPr="00133E07">
        <w:rPr>
          <w:rFonts w:ascii="Times New Roman" w:hAnsi="Times New Roman" w:cs="Times New Roman"/>
          <w:sz w:val="28"/>
          <w:szCs w:val="28"/>
        </w:rPr>
        <w:t>у</w:t>
      </w:r>
      <w:r w:rsidRPr="00133E07">
        <w:rPr>
          <w:rFonts w:ascii="Times New Roman" w:hAnsi="Times New Roman" w:cs="Times New Roman"/>
          <w:sz w:val="28"/>
          <w:szCs w:val="28"/>
        </w:rPr>
        <w:t xml:space="preserve"> включены расходы на мероприятия по муниципальным программам:</w:t>
      </w:r>
    </w:p>
    <w:p w:rsidR="00120152" w:rsidRPr="00133E07" w:rsidRDefault="003278FE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-«Комплексное и устойчивое развитие в сфере строительства, архитектуры и дорожного строительства» подпрограмма «Капитальный ремонт и ремонт автомобильных дорог местного значения годы в 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1423,9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; подпрограмма «Повышение безопасности дорожного движения на территории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района» в сумме 100,0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>Расходные обязательства бюджета на 201</w:t>
      </w:r>
      <w:r w:rsidR="00A0392B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3D29C3" w:rsidRPr="00133E0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794,0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коммунальное хозяйство в </w:t>
      </w:r>
      <w:r w:rsidR="003D29C3" w:rsidRPr="00133E0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439,0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</w:t>
      </w:r>
      <w:r w:rsidR="003D29C3" w:rsidRPr="00133E0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D29C3" w:rsidRPr="00133E07">
        <w:rPr>
          <w:rFonts w:ascii="Times New Roman" w:hAnsi="Times New Roman" w:cs="Times New Roman"/>
          <w:sz w:val="28"/>
          <w:szCs w:val="28"/>
        </w:rPr>
        <w:t xml:space="preserve">, расходы на благоустройство в сумме </w:t>
      </w:r>
      <w:r w:rsidR="00A0392B" w:rsidRPr="00133E07">
        <w:rPr>
          <w:rFonts w:ascii="Times New Roman" w:hAnsi="Times New Roman" w:cs="Times New Roman"/>
          <w:sz w:val="28"/>
          <w:szCs w:val="28"/>
        </w:rPr>
        <w:t>355,0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9C3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Расходы по данному разделу планируются </w:t>
      </w:r>
      <w:r w:rsidR="003D29C3" w:rsidRPr="001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133E07">
        <w:rPr>
          <w:rFonts w:ascii="Times New Roman" w:hAnsi="Times New Roman" w:cs="Times New Roman"/>
          <w:sz w:val="28"/>
          <w:szCs w:val="28"/>
        </w:rPr>
        <w:t xml:space="preserve">мероприятия по уличному освещению, водоснабжению, развитию газификации, сбора и вывоза бытовых отходов и мусора, создания условий для массового отдыха жителей муниципального образования. </w:t>
      </w:r>
    </w:p>
    <w:p w:rsidR="00D614E7" w:rsidRPr="00133E07" w:rsidRDefault="00D614E7" w:rsidP="00D6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В расходах по данному разделу в 2017 году предусмотрены расходы по межбюджетным трансфертам на осуществления передаваемых полномочий по организации теплоснабжения в границах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в сумме 8,0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.  Данные ассигнования предусмотрены на основании тридцать восьмой сессии Совета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31.10.2016 №8 «О передаче муниципальному образованию Славянский район полномочий по организации теплоснабжения в границах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района». Методика по определению размера суммы межбюджетного  трансферта на осуществления передаваемых полномочий по организации теплоснабжения в границах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муниципальным образованием не разработана.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B55656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3D29C3" w:rsidRPr="00133E07">
        <w:rPr>
          <w:rFonts w:ascii="Times New Roman" w:hAnsi="Times New Roman" w:cs="Times New Roman"/>
          <w:sz w:val="28"/>
          <w:szCs w:val="28"/>
        </w:rPr>
        <w:t>30,0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 и включают в себя расходы на мероприятия по муниципальной программе «Молодежь </w:t>
      </w:r>
      <w:proofErr w:type="spellStart"/>
      <w:r w:rsidR="003D29C3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B55656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B55656" w:rsidRPr="00133E07">
        <w:rPr>
          <w:rFonts w:ascii="Times New Roman" w:hAnsi="Times New Roman" w:cs="Times New Roman"/>
          <w:sz w:val="28"/>
          <w:szCs w:val="28"/>
        </w:rPr>
        <w:t>2189,8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. Данный раздел включает в себя расходы на обеспечение деятельности </w:t>
      </w:r>
      <w:r w:rsidR="003D29C3" w:rsidRPr="00133E07">
        <w:rPr>
          <w:rFonts w:ascii="Times New Roman" w:hAnsi="Times New Roman" w:cs="Times New Roman"/>
          <w:sz w:val="28"/>
          <w:szCs w:val="28"/>
        </w:rPr>
        <w:t xml:space="preserve"> МКУК </w:t>
      </w:r>
      <w:r w:rsidRPr="00133E07">
        <w:rPr>
          <w:rFonts w:ascii="Times New Roman" w:hAnsi="Times New Roman" w:cs="Times New Roman"/>
          <w:sz w:val="28"/>
          <w:szCs w:val="28"/>
        </w:rPr>
        <w:t>СДК «</w:t>
      </w:r>
      <w:proofErr w:type="spellStart"/>
      <w:r w:rsidR="003D29C3" w:rsidRPr="00133E07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B55656" w:rsidRPr="00133E07">
        <w:rPr>
          <w:rFonts w:ascii="Times New Roman" w:hAnsi="Times New Roman" w:cs="Times New Roman"/>
          <w:sz w:val="28"/>
          <w:szCs w:val="28"/>
        </w:rPr>
        <w:t>2066,8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 библиотеки при Доме культуры в сумме </w:t>
      </w:r>
      <w:r w:rsidR="00B55656" w:rsidRPr="00133E07">
        <w:rPr>
          <w:rFonts w:ascii="Times New Roman" w:hAnsi="Times New Roman" w:cs="Times New Roman"/>
          <w:sz w:val="28"/>
          <w:szCs w:val="28"/>
        </w:rPr>
        <w:t>123</w:t>
      </w:r>
      <w:r w:rsidR="003D29C3" w:rsidRPr="00133E07">
        <w:rPr>
          <w:rFonts w:ascii="Times New Roman" w:hAnsi="Times New Roman" w:cs="Times New Roman"/>
          <w:sz w:val="28"/>
          <w:szCs w:val="28"/>
        </w:rPr>
        <w:t>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3D29C3" w:rsidRPr="00133E07" w:rsidRDefault="003D29C3" w:rsidP="003D2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В структуре данных расходов предусмотрена реализация мероприятий 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56" w:rsidRPr="00133E07" w:rsidRDefault="003D29C3" w:rsidP="00B5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культуры» </w:t>
      </w:r>
      <w:r w:rsidR="00440C7E" w:rsidRPr="00133E07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133E07">
        <w:rPr>
          <w:rFonts w:ascii="Times New Roman" w:hAnsi="Times New Roman" w:cs="Times New Roman"/>
          <w:sz w:val="28"/>
          <w:szCs w:val="28"/>
        </w:rPr>
        <w:t xml:space="preserve">«Кадровое обеспечение сферы культуры и искусства» в сумме </w:t>
      </w:r>
      <w:r w:rsidR="00B55656" w:rsidRPr="00133E07">
        <w:rPr>
          <w:rFonts w:ascii="Times New Roman" w:hAnsi="Times New Roman" w:cs="Times New Roman"/>
          <w:sz w:val="28"/>
          <w:szCs w:val="28"/>
        </w:rPr>
        <w:t xml:space="preserve">781,3 </w:t>
      </w:r>
      <w:proofErr w:type="spellStart"/>
      <w:r w:rsidR="00B55656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55656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5656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55656" w:rsidRPr="00133E07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в сумме 60,0 </w:t>
      </w:r>
      <w:proofErr w:type="spellStart"/>
      <w:r w:rsidR="00B55656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55656" w:rsidRPr="00133E07">
        <w:rPr>
          <w:rFonts w:ascii="Times New Roman" w:hAnsi="Times New Roman" w:cs="Times New Roman"/>
          <w:sz w:val="28"/>
          <w:szCs w:val="28"/>
        </w:rPr>
        <w:t xml:space="preserve">, средств краевого бюджета в сумме 721,3 </w:t>
      </w:r>
      <w:proofErr w:type="spellStart"/>
      <w:r w:rsidR="00B55656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55656" w:rsidRPr="00133E0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133E07" w:rsidRDefault="00B55656" w:rsidP="00B5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0152" w:rsidRPr="00133E07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Pr="00133E07">
        <w:rPr>
          <w:rFonts w:ascii="Times New Roman" w:hAnsi="Times New Roman" w:cs="Times New Roman"/>
          <w:sz w:val="28"/>
          <w:szCs w:val="28"/>
        </w:rPr>
        <w:t xml:space="preserve">7 </w:t>
      </w:r>
      <w:r w:rsidR="00120152" w:rsidRPr="00133E07">
        <w:rPr>
          <w:rFonts w:ascii="Times New Roman" w:hAnsi="Times New Roman" w:cs="Times New Roman"/>
          <w:sz w:val="28"/>
          <w:szCs w:val="28"/>
        </w:rPr>
        <w:t xml:space="preserve">год по разделу классификации расходов </w:t>
      </w:r>
      <w:r w:rsidR="00120152" w:rsidRPr="00133E07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120152" w:rsidRPr="00133E0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Pr="00133E07">
        <w:rPr>
          <w:rFonts w:ascii="Times New Roman" w:hAnsi="Times New Roman" w:cs="Times New Roman"/>
          <w:sz w:val="28"/>
          <w:szCs w:val="28"/>
        </w:rPr>
        <w:t>100,0</w:t>
      </w:r>
      <w:r w:rsidR="00120152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152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20152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0152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20152" w:rsidRPr="00133E07">
        <w:rPr>
          <w:rFonts w:ascii="Times New Roman" w:hAnsi="Times New Roman" w:cs="Times New Roman"/>
          <w:sz w:val="28"/>
          <w:szCs w:val="28"/>
        </w:rPr>
        <w:t xml:space="preserve">  и будут направлены на мероприятия по оказанию материальной помощи гражданам, попавшим в трудную жизненную ситуацию, проживающих на территории </w:t>
      </w:r>
      <w:proofErr w:type="spellStart"/>
      <w:r w:rsidR="00440C7E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120152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440C7E" w:rsidRPr="00133E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40C7E" w:rsidRPr="00133E07">
        <w:rPr>
          <w:rFonts w:ascii="Times New Roman" w:hAnsi="Times New Roman" w:cs="Times New Roman"/>
          <w:sz w:val="28"/>
          <w:szCs w:val="28"/>
        </w:rPr>
        <w:t>на доплаты к пенсиям муниципальным служащим</w:t>
      </w:r>
      <w:r w:rsidR="00120152" w:rsidRPr="00133E07">
        <w:rPr>
          <w:rFonts w:ascii="Times New Roman" w:hAnsi="Times New Roman" w:cs="Times New Roman"/>
          <w:sz w:val="28"/>
          <w:szCs w:val="28"/>
        </w:rPr>
        <w:t>.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133E07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в объёме </w:t>
      </w:r>
      <w:r w:rsidR="00440C7E" w:rsidRPr="00133E07">
        <w:rPr>
          <w:rFonts w:ascii="Times New Roman" w:hAnsi="Times New Roman" w:cs="Times New Roman"/>
          <w:sz w:val="28"/>
          <w:szCs w:val="28"/>
        </w:rPr>
        <w:t>2,0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и включают в себя мероприятия в области спорта и физической культуру. </w:t>
      </w:r>
    </w:p>
    <w:p w:rsidR="00120152" w:rsidRPr="00133E07" w:rsidRDefault="00120152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133E07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 внутреннего и муниципального долга</w:t>
      </w:r>
      <w:r w:rsidRPr="00133E07">
        <w:rPr>
          <w:rFonts w:ascii="Times New Roman" w:hAnsi="Times New Roman" w:cs="Times New Roman"/>
          <w:sz w:val="28"/>
          <w:szCs w:val="28"/>
        </w:rPr>
        <w:t xml:space="preserve">» </w:t>
      </w:r>
      <w:r w:rsidR="00440C7E" w:rsidRPr="00133E07">
        <w:rPr>
          <w:rFonts w:ascii="Times New Roman" w:hAnsi="Times New Roman" w:cs="Times New Roman"/>
          <w:sz w:val="28"/>
          <w:szCs w:val="28"/>
        </w:rPr>
        <w:t xml:space="preserve">предусмотрены в объёме </w:t>
      </w:r>
      <w:r w:rsidR="009C07D6" w:rsidRPr="00133E07">
        <w:rPr>
          <w:rFonts w:ascii="Times New Roman" w:hAnsi="Times New Roman" w:cs="Times New Roman"/>
          <w:sz w:val="28"/>
          <w:szCs w:val="28"/>
        </w:rPr>
        <w:t>50</w:t>
      </w:r>
      <w:r w:rsidR="00440C7E"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40C7E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0C7E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0C7E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0C7E" w:rsidRPr="00133E07">
        <w:rPr>
          <w:rFonts w:ascii="Times New Roman" w:hAnsi="Times New Roman" w:cs="Times New Roman"/>
          <w:sz w:val="28"/>
          <w:szCs w:val="28"/>
        </w:rPr>
        <w:t xml:space="preserve"> и включают в себя мероприятия в области обслуживания муниципального долга. Сельским поселением прогнозируется получение бюджетного кредита в сумме 4</w:t>
      </w:r>
      <w:r w:rsidR="009C07D6" w:rsidRPr="00133E07">
        <w:rPr>
          <w:rFonts w:ascii="Times New Roman" w:hAnsi="Times New Roman" w:cs="Times New Roman"/>
          <w:sz w:val="28"/>
          <w:szCs w:val="28"/>
        </w:rPr>
        <w:t>9</w:t>
      </w:r>
      <w:r w:rsidR="00440C7E" w:rsidRPr="00133E07">
        <w:rPr>
          <w:rFonts w:ascii="Times New Roman" w:hAnsi="Times New Roman" w:cs="Times New Roman"/>
          <w:sz w:val="28"/>
          <w:szCs w:val="28"/>
        </w:rPr>
        <w:t xml:space="preserve">80,0 </w:t>
      </w:r>
      <w:proofErr w:type="spellStart"/>
      <w:r w:rsidR="00440C7E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0C7E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0C7E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0C7E" w:rsidRPr="00133E07">
        <w:rPr>
          <w:rFonts w:ascii="Times New Roman" w:hAnsi="Times New Roman" w:cs="Times New Roman"/>
          <w:sz w:val="28"/>
          <w:szCs w:val="28"/>
        </w:rPr>
        <w:t xml:space="preserve"> со сроком погашения в 201</w:t>
      </w:r>
      <w:r w:rsidR="009C07D6" w:rsidRPr="00133E07">
        <w:rPr>
          <w:rFonts w:ascii="Times New Roman" w:hAnsi="Times New Roman" w:cs="Times New Roman"/>
          <w:sz w:val="28"/>
          <w:szCs w:val="28"/>
        </w:rPr>
        <w:t xml:space="preserve">7 </w:t>
      </w:r>
      <w:r w:rsidR="00440C7E" w:rsidRPr="00133E07">
        <w:rPr>
          <w:rFonts w:ascii="Times New Roman" w:hAnsi="Times New Roman" w:cs="Times New Roman"/>
          <w:sz w:val="28"/>
          <w:szCs w:val="28"/>
        </w:rPr>
        <w:t>году.</w:t>
      </w:r>
    </w:p>
    <w:p w:rsidR="00440C7E" w:rsidRPr="00133E07" w:rsidRDefault="00440C7E" w:rsidP="0012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23" w:rsidRPr="00133E07" w:rsidRDefault="00D83C95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 xml:space="preserve">Применение программно-целевого метода </w:t>
      </w:r>
    </w:p>
    <w:p w:rsidR="00D83C95" w:rsidRPr="00133E07" w:rsidRDefault="00D76523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 xml:space="preserve">планирования расходов </w:t>
      </w:r>
      <w:r w:rsidR="00D83C95" w:rsidRPr="00133E07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891FF8" w:rsidRDefault="00891FF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C95" w:rsidRPr="00133E0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Проект бюджета содержит расходные обязательства на проведение мероприятий по </w:t>
      </w:r>
      <w:r w:rsidR="00440C7E" w:rsidRPr="00133E07">
        <w:rPr>
          <w:rFonts w:ascii="Times New Roman" w:hAnsi="Times New Roman" w:cs="Times New Roman"/>
          <w:sz w:val="28"/>
          <w:szCs w:val="28"/>
        </w:rPr>
        <w:t>трем</w:t>
      </w:r>
      <w:r w:rsidRPr="00133E07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E66E6E" w:rsidRPr="00133E0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C07D6" w:rsidRPr="00133E07">
        <w:rPr>
          <w:rFonts w:ascii="Times New Roman" w:hAnsi="Times New Roman" w:cs="Times New Roman"/>
          <w:sz w:val="28"/>
          <w:szCs w:val="28"/>
        </w:rPr>
        <w:t>2335,2</w:t>
      </w:r>
      <w:r w:rsidR="00E66E6E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6E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66E6E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6E6E" w:rsidRPr="00133E07">
        <w:rPr>
          <w:rFonts w:ascii="Times New Roman" w:hAnsi="Times New Roman" w:cs="Times New Roman"/>
          <w:sz w:val="28"/>
          <w:szCs w:val="28"/>
        </w:rPr>
        <w:t>уб</w:t>
      </w:r>
      <w:r w:rsidR="00440C7E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, </w:t>
      </w:r>
      <w:r w:rsidR="0050586D" w:rsidRPr="00133E0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114D58" w:rsidRPr="00133E07">
        <w:rPr>
          <w:rFonts w:ascii="Times New Roman" w:hAnsi="Times New Roman" w:cs="Times New Roman"/>
          <w:sz w:val="28"/>
          <w:szCs w:val="28"/>
        </w:rPr>
        <w:t>П</w:t>
      </w:r>
      <w:r w:rsidR="0050586D" w:rsidRPr="00133E0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50586D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50586D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114D58" w:rsidRPr="00133E07">
        <w:rPr>
          <w:rFonts w:ascii="Times New Roman" w:hAnsi="Times New Roman" w:cs="Times New Roman"/>
          <w:sz w:val="28"/>
          <w:szCs w:val="28"/>
        </w:rPr>
        <w:t>0</w:t>
      </w:r>
      <w:r w:rsidR="0050586D" w:rsidRPr="00133E07">
        <w:rPr>
          <w:rFonts w:ascii="Times New Roman" w:hAnsi="Times New Roman" w:cs="Times New Roman"/>
          <w:sz w:val="28"/>
          <w:szCs w:val="28"/>
        </w:rPr>
        <w:t>1.11.201</w:t>
      </w:r>
      <w:r w:rsidR="00114D58" w:rsidRPr="00133E07">
        <w:rPr>
          <w:rFonts w:ascii="Times New Roman" w:hAnsi="Times New Roman" w:cs="Times New Roman"/>
          <w:sz w:val="28"/>
          <w:szCs w:val="28"/>
        </w:rPr>
        <w:t>6</w:t>
      </w:r>
      <w:r w:rsidR="0050586D" w:rsidRPr="00133E07">
        <w:rPr>
          <w:rFonts w:ascii="Times New Roman" w:hAnsi="Times New Roman" w:cs="Times New Roman"/>
          <w:sz w:val="28"/>
          <w:szCs w:val="28"/>
        </w:rPr>
        <w:t xml:space="preserve"> №</w:t>
      </w:r>
      <w:r w:rsidR="00114D58" w:rsidRPr="00133E07">
        <w:rPr>
          <w:rFonts w:ascii="Times New Roman" w:hAnsi="Times New Roman" w:cs="Times New Roman"/>
          <w:sz w:val="28"/>
          <w:szCs w:val="28"/>
        </w:rPr>
        <w:t xml:space="preserve"> 272</w:t>
      </w:r>
      <w:r w:rsidR="0050586D" w:rsidRPr="00133E0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="0050586D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50586D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114D58" w:rsidRPr="00133E07">
        <w:rPr>
          <w:rFonts w:ascii="Times New Roman" w:hAnsi="Times New Roman" w:cs="Times New Roman"/>
          <w:sz w:val="28"/>
          <w:szCs w:val="28"/>
        </w:rPr>
        <w:t>7</w:t>
      </w:r>
      <w:r w:rsidR="0050586D" w:rsidRPr="00133E07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133E07">
        <w:rPr>
          <w:rFonts w:ascii="Times New Roman" w:hAnsi="Times New Roman" w:cs="Times New Roman"/>
          <w:sz w:val="28"/>
          <w:szCs w:val="28"/>
        </w:rPr>
        <w:t>в том числе:</w:t>
      </w:r>
    </w:p>
    <w:p w:rsidR="00D83C95" w:rsidRPr="00133E0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-«Молодежь </w:t>
      </w:r>
      <w:proofErr w:type="spellStart"/>
      <w:r w:rsidR="005637F3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37F3" w:rsidRPr="00133E07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133E07">
        <w:rPr>
          <w:rFonts w:ascii="Times New Roman" w:hAnsi="Times New Roman" w:cs="Times New Roman"/>
          <w:sz w:val="28"/>
          <w:szCs w:val="28"/>
        </w:rPr>
        <w:t>»</w:t>
      </w:r>
      <w:r w:rsidR="00440C7E" w:rsidRPr="00133E07">
        <w:rPr>
          <w:rFonts w:ascii="Times New Roman" w:hAnsi="Times New Roman" w:cs="Times New Roman"/>
          <w:sz w:val="28"/>
          <w:szCs w:val="28"/>
        </w:rPr>
        <w:t xml:space="preserve"> в сумме 30,0 </w:t>
      </w:r>
      <w:proofErr w:type="spellStart"/>
      <w:r w:rsidR="00440C7E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0C7E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0C7E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114D58" w:rsidRPr="00133E07" w:rsidRDefault="00440C7E" w:rsidP="0011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</w:t>
      </w:r>
      <w:r w:rsidR="0040333A" w:rsidRPr="00133E07">
        <w:rPr>
          <w:rFonts w:ascii="Times New Roman" w:hAnsi="Times New Roman" w:cs="Times New Roman"/>
          <w:sz w:val="28"/>
          <w:szCs w:val="28"/>
        </w:rPr>
        <w:t>«Развитие культуры» подпрограмма «Кадровое обеспече</w:t>
      </w:r>
      <w:r w:rsidR="00114D58" w:rsidRPr="00133E07">
        <w:rPr>
          <w:rFonts w:ascii="Times New Roman" w:hAnsi="Times New Roman" w:cs="Times New Roman"/>
          <w:sz w:val="28"/>
          <w:szCs w:val="28"/>
        </w:rPr>
        <w:t xml:space="preserve">ние сферы культуры и искусства»,  подпрограмма «Кадровое обеспечение сферы культуры и искусства» в сумме 781,3 </w:t>
      </w:r>
      <w:proofErr w:type="spellStart"/>
      <w:r w:rsidR="00114D58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14D58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4D58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14D58" w:rsidRPr="00133E07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в сумме 60,0 </w:t>
      </w:r>
      <w:proofErr w:type="spellStart"/>
      <w:r w:rsidR="00114D58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14D58" w:rsidRPr="00133E07">
        <w:rPr>
          <w:rFonts w:ascii="Times New Roman" w:hAnsi="Times New Roman" w:cs="Times New Roman"/>
          <w:sz w:val="28"/>
          <w:szCs w:val="28"/>
        </w:rPr>
        <w:t xml:space="preserve">, средств краевого бюджета в сумме 721,3 </w:t>
      </w:r>
      <w:proofErr w:type="spellStart"/>
      <w:r w:rsidR="00114D58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14D58" w:rsidRPr="00133E07">
        <w:rPr>
          <w:rFonts w:ascii="Times New Roman" w:hAnsi="Times New Roman" w:cs="Times New Roman"/>
          <w:sz w:val="28"/>
          <w:szCs w:val="28"/>
        </w:rPr>
        <w:t>.</w:t>
      </w:r>
    </w:p>
    <w:p w:rsidR="0040333A" w:rsidRPr="00133E07" w:rsidRDefault="0040333A" w:rsidP="0040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-«Комплексное и устойчивое развитие в сфере строительства, архитектуры и дорожного строительства» подпрограмма «Капитальный ремонт и ремонт автомобильных дорог местного значения годы в сумме </w:t>
      </w:r>
      <w:r w:rsidR="00114D58" w:rsidRPr="00133E07">
        <w:rPr>
          <w:rFonts w:ascii="Times New Roman" w:hAnsi="Times New Roman" w:cs="Times New Roman"/>
          <w:sz w:val="28"/>
          <w:szCs w:val="28"/>
        </w:rPr>
        <w:t>1423,9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; подпрограмма «Повышение безопасности дорожного движения на территории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района» в сумме 100,0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50586D" w:rsidRPr="00133E07" w:rsidRDefault="0050586D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C95" w:rsidRPr="00133E0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разработке, формировании, реализации и оценки эффективности реализации муниципальных программ </w:t>
      </w:r>
      <w:proofErr w:type="spellStart"/>
      <w:r w:rsidR="005637F3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утвержден постановлением </w:t>
      </w:r>
      <w:r w:rsidR="00311EF4" w:rsidRPr="00133E07">
        <w:rPr>
          <w:rFonts w:ascii="Times New Roman" w:hAnsi="Times New Roman" w:cs="Times New Roman"/>
          <w:sz w:val="28"/>
          <w:szCs w:val="28"/>
        </w:rPr>
        <w:t>А</w:t>
      </w:r>
      <w:r w:rsidRPr="00133E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0441E" w:rsidRPr="00133E07">
        <w:rPr>
          <w:rFonts w:ascii="Times New Roman" w:hAnsi="Times New Roman" w:cs="Times New Roman"/>
          <w:sz w:val="28"/>
          <w:szCs w:val="28"/>
        </w:rPr>
        <w:t>П</w:t>
      </w:r>
      <w:r w:rsidR="0025525B" w:rsidRPr="00133E07">
        <w:rPr>
          <w:rFonts w:ascii="Times New Roman" w:hAnsi="Times New Roman" w:cs="Times New Roman"/>
          <w:sz w:val="28"/>
          <w:szCs w:val="28"/>
        </w:rPr>
        <w:t>р</w:t>
      </w:r>
      <w:r w:rsidR="0060441E" w:rsidRPr="00133E07">
        <w:rPr>
          <w:rFonts w:ascii="Times New Roman" w:hAnsi="Times New Roman" w:cs="Times New Roman"/>
          <w:sz w:val="28"/>
          <w:szCs w:val="28"/>
        </w:rPr>
        <w:t>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60441E" w:rsidRPr="00133E07">
        <w:rPr>
          <w:rFonts w:ascii="Times New Roman" w:hAnsi="Times New Roman" w:cs="Times New Roman"/>
          <w:sz w:val="28"/>
          <w:szCs w:val="28"/>
        </w:rPr>
        <w:t>12.09</w:t>
      </w:r>
      <w:r w:rsidRPr="00133E07">
        <w:rPr>
          <w:rFonts w:ascii="Times New Roman" w:hAnsi="Times New Roman" w:cs="Times New Roman"/>
          <w:sz w:val="28"/>
          <w:szCs w:val="28"/>
        </w:rPr>
        <w:t xml:space="preserve">.2014г. </w:t>
      </w:r>
      <w:r w:rsidR="0060441E" w:rsidRPr="00133E07">
        <w:rPr>
          <w:rFonts w:ascii="Times New Roman" w:hAnsi="Times New Roman" w:cs="Times New Roman"/>
          <w:sz w:val="28"/>
          <w:szCs w:val="28"/>
        </w:rPr>
        <w:t>170</w:t>
      </w:r>
      <w:r w:rsidRPr="00133E07">
        <w:rPr>
          <w:rFonts w:ascii="Times New Roman" w:hAnsi="Times New Roman" w:cs="Times New Roman"/>
          <w:sz w:val="28"/>
          <w:szCs w:val="28"/>
        </w:rPr>
        <w:t xml:space="preserve"> (далее Порядок).</w:t>
      </w:r>
    </w:p>
    <w:p w:rsidR="00D83C95" w:rsidRPr="00133E07" w:rsidRDefault="00D83C95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Статьей 157 Бюджетного кодекса Российской Федерации «Бюджетные полномочия органов государственного (муниципального) финансового контроля» предусмотрено проведение экспертизы проектов муниципальных программ.</w:t>
      </w:r>
    </w:p>
    <w:p w:rsidR="00A51921" w:rsidRPr="00133E07" w:rsidRDefault="00A51921" w:rsidP="00A5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2014 году контрольно-счетной палатой муниципального образования Славянский район пров</w:t>
      </w:r>
      <w:r w:rsidR="00114D58" w:rsidRPr="00133E07">
        <w:rPr>
          <w:rFonts w:ascii="Times New Roman" w:hAnsi="Times New Roman" w:cs="Times New Roman"/>
          <w:sz w:val="28"/>
          <w:szCs w:val="28"/>
        </w:rPr>
        <w:t>одилась</w:t>
      </w:r>
      <w:r w:rsidRPr="00133E07">
        <w:rPr>
          <w:rFonts w:ascii="Times New Roman" w:hAnsi="Times New Roman" w:cs="Times New Roman"/>
          <w:sz w:val="28"/>
          <w:szCs w:val="28"/>
        </w:rPr>
        <w:t xml:space="preserve"> экспертиза следующих программ:</w:t>
      </w:r>
    </w:p>
    <w:p w:rsidR="0060441E" w:rsidRPr="00133E0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-«Кадровое обеспечение сферы культуры и искусства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 на 2015-2017 годы</w:t>
      </w:r>
      <w:r w:rsidR="00A51921" w:rsidRPr="00133E07">
        <w:rPr>
          <w:rFonts w:ascii="Times New Roman" w:hAnsi="Times New Roman" w:cs="Times New Roman"/>
          <w:sz w:val="28"/>
          <w:szCs w:val="28"/>
        </w:rPr>
        <w:t xml:space="preserve"> в сумме 42,8 </w:t>
      </w:r>
      <w:proofErr w:type="spellStart"/>
      <w:r w:rsidR="00A51921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1921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921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60441E" w:rsidRPr="00133E0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33E0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3E07">
        <w:rPr>
          <w:rFonts w:ascii="Times New Roman" w:hAnsi="Times New Roman" w:cs="Times New Roman"/>
          <w:sz w:val="28"/>
          <w:szCs w:val="28"/>
        </w:rPr>
        <w:t xml:space="preserve">Молодёжь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 на 2015-2017 годы</w:t>
      </w:r>
      <w:r w:rsidR="00114D58" w:rsidRPr="00133E07">
        <w:rPr>
          <w:rFonts w:ascii="Times New Roman" w:hAnsi="Times New Roman" w:cs="Times New Roman"/>
          <w:sz w:val="28"/>
          <w:szCs w:val="28"/>
        </w:rPr>
        <w:t xml:space="preserve"> в сумме 30,0 </w:t>
      </w:r>
      <w:proofErr w:type="spellStart"/>
      <w:r w:rsidR="00114D58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14D58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4D58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;</w:t>
      </w:r>
    </w:p>
    <w:p w:rsidR="0060441E" w:rsidRPr="00133E0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-«Капитальный ремонт и ремонт автомобильных дорог местного значения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поселения» на 2015-2017 годы</w:t>
      </w:r>
      <w:r w:rsidR="00A51921" w:rsidRPr="00133E07">
        <w:rPr>
          <w:rFonts w:ascii="Times New Roman" w:hAnsi="Times New Roman" w:cs="Times New Roman"/>
          <w:sz w:val="28"/>
          <w:szCs w:val="28"/>
        </w:rPr>
        <w:t xml:space="preserve"> подпрограмма «Капитальный ремонт и ремонт автомобильных дорог местного значения годы в сумме 223,0 </w:t>
      </w:r>
      <w:proofErr w:type="spellStart"/>
      <w:r w:rsidR="00A51921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1921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921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51921" w:rsidRPr="00133E07">
        <w:rPr>
          <w:rFonts w:ascii="Times New Roman" w:hAnsi="Times New Roman" w:cs="Times New Roman"/>
          <w:sz w:val="28"/>
          <w:szCs w:val="28"/>
        </w:rPr>
        <w:t>.</w:t>
      </w:r>
    </w:p>
    <w:p w:rsidR="0060441E" w:rsidRPr="00133E0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По данным муниципальным программам не выполнены условия утверждения муниципальных программ.</w:t>
      </w:r>
    </w:p>
    <w:p w:rsidR="0060441E" w:rsidRPr="00133E07" w:rsidRDefault="0060441E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Согласно п. 3.4.2. «Основание и этапы разработки муниципальной программы» утвержденного Порядка от 12.09.2014 года № 170 предусмотрено, что утверждение программ проводится после направления </w:t>
      </w:r>
      <w:r w:rsidR="00A51921" w:rsidRPr="00133E07">
        <w:rPr>
          <w:rFonts w:ascii="Times New Roman" w:hAnsi="Times New Roman" w:cs="Times New Roman"/>
          <w:sz w:val="28"/>
          <w:szCs w:val="28"/>
        </w:rPr>
        <w:t>и проведения экономической экспертизы к</w:t>
      </w:r>
      <w:r w:rsidRPr="00133E07">
        <w:rPr>
          <w:rFonts w:ascii="Times New Roman" w:hAnsi="Times New Roman" w:cs="Times New Roman"/>
          <w:sz w:val="28"/>
          <w:szCs w:val="28"/>
        </w:rPr>
        <w:t>онтрольно-счетн</w:t>
      </w:r>
      <w:r w:rsidR="00A51921" w:rsidRPr="00133E07">
        <w:rPr>
          <w:rFonts w:ascii="Times New Roman" w:hAnsi="Times New Roman" w:cs="Times New Roman"/>
          <w:sz w:val="28"/>
          <w:szCs w:val="28"/>
        </w:rPr>
        <w:t>ой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A51921" w:rsidRPr="00133E07">
        <w:rPr>
          <w:rFonts w:ascii="Times New Roman" w:hAnsi="Times New Roman" w:cs="Times New Roman"/>
          <w:sz w:val="28"/>
          <w:szCs w:val="28"/>
        </w:rPr>
        <w:t>ой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11EF4" w:rsidRPr="00133E07">
        <w:rPr>
          <w:rFonts w:ascii="Times New Roman" w:hAnsi="Times New Roman" w:cs="Times New Roman"/>
          <w:sz w:val="28"/>
          <w:szCs w:val="28"/>
        </w:rPr>
        <w:t>ов</w:t>
      </w:r>
      <w:r w:rsidRPr="00133E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51921" w:rsidRPr="00133E07">
        <w:rPr>
          <w:rFonts w:ascii="Times New Roman" w:hAnsi="Times New Roman" w:cs="Times New Roman"/>
          <w:sz w:val="28"/>
          <w:szCs w:val="28"/>
        </w:rPr>
        <w:t>ых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83C95" w:rsidRPr="00133E07" w:rsidRDefault="00AE4297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Данные</w:t>
      </w:r>
      <w:r w:rsidR="00D83C95" w:rsidRPr="00133E0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33E07">
        <w:rPr>
          <w:rFonts w:ascii="Times New Roman" w:hAnsi="Times New Roman" w:cs="Times New Roman"/>
          <w:sz w:val="28"/>
          <w:szCs w:val="28"/>
        </w:rPr>
        <w:t>ы</w:t>
      </w:r>
      <w:r w:rsidR="00D83C95" w:rsidRPr="00133E0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311EF4" w:rsidRPr="00133E07">
        <w:rPr>
          <w:rFonts w:ascii="Times New Roman" w:hAnsi="Times New Roman" w:cs="Times New Roman"/>
          <w:sz w:val="28"/>
          <w:szCs w:val="28"/>
        </w:rPr>
        <w:t>ялись</w:t>
      </w:r>
      <w:r w:rsidR="00D83C95" w:rsidRPr="00133E07">
        <w:rPr>
          <w:rFonts w:ascii="Times New Roman" w:hAnsi="Times New Roman" w:cs="Times New Roman"/>
          <w:sz w:val="28"/>
          <w:szCs w:val="28"/>
        </w:rPr>
        <w:t xml:space="preserve"> без подтверждения объемов финансирования по разработанным мероприятиям.</w:t>
      </w:r>
    </w:p>
    <w:p w:rsidR="00311EF4" w:rsidRPr="00133E07" w:rsidRDefault="00AE4297" w:rsidP="0031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Рекомендовано при разработк</w:t>
      </w:r>
      <w:r w:rsidR="00311EF4" w:rsidRPr="00133E07">
        <w:rPr>
          <w:rFonts w:ascii="Times New Roman" w:hAnsi="Times New Roman" w:cs="Times New Roman"/>
          <w:sz w:val="28"/>
          <w:szCs w:val="28"/>
        </w:rPr>
        <w:t>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муниципальных программ соблюдение всех этапов разработки, формирования и реализации муниципальной программы с учётом правил предусмотренных Порядком принятия решения о разработке, формирования, реализации и оценки эффективности реализации муниципальных програм</w:t>
      </w:r>
      <w:r w:rsidR="00311EF4" w:rsidRPr="00133E07">
        <w:rPr>
          <w:rFonts w:ascii="Times New Roman" w:hAnsi="Times New Roman" w:cs="Times New Roman"/>
          <w:sz w:val="28"/>
          <w:szCs w:val="28"/>
        </w:rPr>
        <w:t xml:space="preserve">м, </w:t>
      </w:r>
      <w:r w:rsidRPr="00133E07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="00311EF4" w:rsidRPr="00133E07">
        <w:rPr>
          <w:rFonts w:ascii="Times New Roman" w:hAnsi="Times New Roman" w:cs="Times New Roman"/>
          <w:sz w:val="28"/>
          <w:szCs w:val="28"/>
        </w:rPr>
        <w:t>п</w:t>
      </w:r>
      <w:r w:rsidRPr="00133E0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11EF4" w:rsidRPr="00133E07">
        <w:rPr>
          <w:rFonts w:ascii="Times New Roman" w:hAnsi="Times New Roman" w:cs="Times New Roman"/>
          <w:sz w:val="28"/>
          <w:szCs w:val="28"/>
        </w:rPr>
        <w:t>А</w:t>
      </w:r>
      <w:r w:rsidRPr="00133E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311EF4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1EF4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>поселения</w:t>
      </w:r>
      <w:r w:rsidR="00311EF4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311EF4" w:rsidRPr="00133E07">
        <w:rPr>
          <w:rFonts w:ascii="Times New Roman" w:hAnsi="Times New Roman" w:cs="Times New Roman"/>
          <w:sz w:val="28"/>
          <w:szCs w:val="28"/>
        </w:rPr>
        <w:t>ого</w:t>
      </w:r>
      <w:r w:rsidRPr="00133E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1EF4" w:rsidRPr="00133E07">
        <w:rPr>
          <w:rFonts w:ascii="Times New Roman" w:hAnsi="Times New Roman" w:cs="Times New Roman"/>
          <w:sz w:val="28"/>
          <w:szCs w:val="28"/>
        </w:rPr>
        <w:t>а от 12.09.2014  года № 170.</w:t>
      </w:r>
    </w:p>
    <w:p w:rsidR="00114D58" w:rsidRPr="00133E07" w:rsidRDefault="00114D58" w:rsidP="00114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В нарушении ст.157 БК РФ и п.3.4.2. разработанного Порядка №170 от 12.09.2014 года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 с учетом вносимых</w:t>
      </w:r>
      <w:r w:rsidR="00DB0656" w:rsidRPr="00133E07">
        <w:rPr>
          <w:rFonts w:ascii="Times New Roman" w:hAnsi="Times New Roman" w:cs="Times New Roman"/>
          <w:sz w:val="28"/>
          <w:szCs w:val="28"/>
        </w:rPr>
        <w:t>, в том числе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изменений в объем</w:t>
      </w:r>
      <w:r w:rsidR="00DB0656" w:rsidRPr="00133E07">
        <w:rPr>
          <w:rFonts w:ascii="Times New Roman" w:hAnsi="Times New Roman" w:cs="Times New Roman"/>
          <w:sz w:val="28"/>
          <w:szCs w:val="28"/>
        </w:rPr>
        <w:t>ах</w:t>
      </w:r>
      <w:r w:rsidRPr="00133E07"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</w:p>
    <w:p w:rsidR="0050586D" w:rsidRPr="00133E07" w:rsidRDefault="0050586D" w:rsidP="00114D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3A32" w:rsidRPr="00133E07" w:rsidRDefault="00D13A32" w:rsidP="00D76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133E07" w:rsidRPr="00133E07" w:rsidRDefault="00133E07" w:rsidP="00DB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656" w:rsidRPr="00133E07" w:rsidRDefault="00D13A32" w:rsidP="00DB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3E07"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311EF4" w:rsidRPr="00133E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E07">
        <w:rPr>
          <w:rFonts w:ascii="Times New Roman" w:hAnsi="Times New Roman" w:cs="Times New Roman"/>
          <w:sz w:val="28"/>
          <w:szCs w:val="28"/>
        </w:rPr>
        <w:t xml:space="preserve"> на 201</w:t>
      </w:r>
      <w:r w:rsidR="00DB0656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спрогнозирован </w:t>
      </w:r>
      <w:r w:rsidR="00311EF4" w:rsidRPr="00133E07">
        <w:rPr>
          <w:rFonts w:ascii="Times New Roman" w:hAnsi="Times New Roman" w:cs="Times New Roman"/>
          <w:sz w:val="28"/>
          <w:szCs w:val="28"/>
        </w:rPr>
        <w:t>в сумме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B0656" w:rsidRPr="00133E07">
        <w:rPr>
          <w:rFonts w:ascii="Times New Roman" w:hAnsi="Times New Roman" w:cs="Times New Roman"/>
          <w:sz w:val="28"/>
          <w:szCs w:val="28"/>
        </w:rPr>
        <w:t>9319,0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</w:t>
      </w:r>
      <w:r w:rsidR="00311EF4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, в том числе</w:t>
      </w:r>
      <w:r w:rsidR="00DB0656" w:rsidRPr="00133E07">
        <w:rPr>
          <w:rFonts w:ascii="Times New Roman" w:hAnsi="Times New Roman" w:cs="Times New Roman"/>
          <w:sz w:val="28"/>
          <w:szCs w:val="28"/>
        </w:rPr>
        <w:t xml:space="preserve">, собственные доходы 7806,0 </w:t>
      </w:r>
      <w:proofErr w:type="spellStart"/>
      <w:r w:rsidR="00DB0656" w:rsidRPr="00133E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B0656" w:rsidRPr="00133E07">
        <w:rPr>
          <w:rFonts w:ascii="Times New Roman" w:hAnsi="Times New Roman" w:cs="Times New Roman"/>
          <w:sz w:val="28"/>
          <w:szCs w:val="28"/>
        </w:rPr>
        <w:t xml:space="preserve"> или 83,8% от общего объёма доходов. </w:t>
      </w:r>
    </w:p>
    <w:p w:rsidR="00D13A32" w:rsidRPr="00133E07" w:rsidRDefault="00D13A32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Расходная часть бюджета 201</w:t>
      </w:r>
      <w:r w:rsidR="00DB0656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1EF4" w:rsidRPr="00133E07">
        <w:rPr>
          <w:rFonts w:ascii="Times New Roman" w:hAnsi="Times New Roman" w:cs="Times New Roman"/>
          <w:sz w:val="28"/>
          <w:szCs w:val="28"/>
        </w:rPr>
        <w:t xml:space="preserve">спрогнозирована в сумме </w:t>
      </w:r>
      <w:r w:rsidR="00DB0656" w:rsidRPr="00133E07">
        <w:rPr>
          <w:rFonts w:ascii="Times New Roman" w:hAnsi="Times New Roman" w:cs="Times New Roman"/>
          <w:sz w:val="28"/>
          <w:szCs w:val="28"/>
        </w:rPr>
        <w:t>9319,0</w:t>
      </w:r>
      <w:r w:rsidR="00311EF4"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EF4"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11EF4"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11EF4"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11EF4" w:rsidRPr="00133E07">
        <w:rPr>
          <w:rFonts w:ascii="Times New Roman" w:hAnsi="Times New Roman" w:cs="Times New Roman"/>
          <w:sz w:val="28"/>
          <w:szCs w:val="28"/>
        </w:rPr>
        <w:t>.</w:t>
      </w:r>
    </w:p>
    <w:p w:rsidR="003E4BE7" w:rsidRPr="00133E07" w:rsidRDefault="003E4BE7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и выплате процентов по муниципальному долгу </w:t>
      </w:r>
      <w:r w:rsidR="0071632B" w:rsidRPr="00133E07">
        <w:rPr>
          <w:rFonts w:ascii="Times New Roman" w:hAnsi="Times New Roman" w:cs="Times New Roman"/>
          <w:sz w:val="28"/>
          <w:szCs w:val="28"/>
        </w:rPr>
        <w:t xml:space="preserve">проектом бюджета </w:t>
      </w:r>
      <w:r w:rsidRPr="00133E0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DB0656" w:rsidRPr="00133E07">
        <w:rPr>
          <w:rFonts w:ascii="Times New Roman" w:hAnsi="Times New Roman" w:cs="Times New Roman"/>
          <w:sz w:val="28"/>
          <w:szCs w:val="28"/>
        </w:rPr>
        <w:t>50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</w:t>
      </w:r>
      <w:r w:rsidR="0071632B" w:rsidRPr="00133E0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035EBC" w:rsidRPr="00133E07" w:rsidRDefault="00035EBC" w:rsidP="00035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Сельским поселением прогнозируется получение бюджетного кредита в сумме 4980,0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со сроком погашения в 2017 году.</w:t>
      </w:r>
    </w:p>
    <w:p w:rsidR="0071632B" w:rsidRPr="00133E07" w:rsidRDefault="0071632B" w:rsidP="0071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Проектом бюджета установлен размер резервного фонда администрации муниципального образования на 2016 год в сумме </w:t>
      </w:r>
      <w:r w:rsidR="00DB0656" w:rsidRPr="00133E07">
        <w:rPr>
          <w:rFonts w:ascii="Times New Roman" w:hAnsi="Times New Roman" w:cs="Times New Roman"/>
          <w:sz w:val="28"/>
          <w:szCs w:val="28"/>
        </w:rPr>
        <w:t>1</w:t>
      </w:r>
      <w:r w:rsidRPr="00133E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, что соответствует ограничениям, установленным п.3 ст.81 БК РФ.</w:t>
      </w:r>
    </w:p>
    <w:p w:rsidR="0071632B" w:rsidRPr="00133E07" w:rsidRDefault="0071632B" w:rsidP="0071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предусмотрен в сумме </w:t>
      </w:r>
      <w:r w:rsidR="00DB0656" w:rsidRPr="00133E07">
        <w:rPr>
          <w:rFonts w:ascii="Times New Roman" w:hAnsi="Times New Roman" w:cs="Times New Roman"/>
          <w:sz w:val="28"/>
          <w:szCs w:val="28"/>
        </w:rPr>
        <w:t>1524,0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71632B" w:rsidRPr="00133E07" w:rsidRDefault="0071632B" w:rsidP="0071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lastRenderedPageBreak/>
        <w:t>Проектом бюджета определен верхний предел муниципального внутреннего долга на 1 января 201</w:t>
      </w:r>
      <w:r w:rsidR="00DB0656" w:rsidRPr="00133E07">
        <w:rPr>
          <w:rFonts w:ascii="Times New Roman" w:hAnsi="Times New Roman" w:cs="Times New Roman"/>
          <w:sz w:val="28"/>
          <w:szCs w:val="28"/>
        </w:rPr>
        <w:t>8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года в сумме 4</w:t>
      </w:r>
      <w:r w:rsidR="00DB0656" w:rsidRPr="00133E07">
        <w:rPr>
          <w:rFonts w:ascii="Times New Roman" w:hAnsi="Times New Roman" w:cs="Times New Roman"/>
          <w:sz w:val="28"/>
          <w:szCs w:val="28"/>
        </w:rPr>
        <w:t>9</w:t>
      </w:r>
      <w:r w:rsidRPr="00133E07">
        <w:rPr>
          <w:rFonts w:ascii="Times New Roman" w:hAnsi="Times New Roman" w:cs="Times New Roman"/>
          <w:sz w:val="28"/>
          <w:szCs w:val="28"/>
        </w:rPr>
        <w:t xml:space="preserve">80,0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, который не превышает предельного объема муниципального долга (п.3 ст.107 БК РФ), в том числе по муниципальным гарантиям муниципального образования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сельское поселение 0,0 тыс. рублей (ст.111 БК РФ).</w:t>
      </w:r>
    </w:p>
    <w:p w:rsidR="00D614E7" w:rsidRPr="00133E07" w:rsidRDefault="00D614E7" w:rsidP="00D6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Общий объём межбюджетных трансфертов, предоставляемых другим бюджетам бюджетной системы Российской Федерации на 2017 год составит -  47,4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D614E7" w:rsidRPr="00133E07" w:rsidRDefault="00D614E7" w:rsidP="00D6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трансфертов, получаемых из других бюджетов бюджетной системы РФ на 2016 год – 1513,0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D614E7" w:rsidRPr="00133E07" w:rsidRDefault="00D614E7" w:rsidP="00D6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публично-нормативных обязательств установлен в сумме 100,0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(п.3 ст. 184 БК РФ).</w:t>
      </w:r>
    </w:p>
    <w:p w:rsidR="00D614E7" w:rsidRPr="00133E07" w:rsidRDefault="00D614E7" w:rsidP="00D6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В расходах по разделу «Жилищно-коммунальное хозяйство» в 2017 году предусмотрены расходы по межбюджетным трансфертам на осуществления передаваемых полномочий по организации теплоснабжения в границах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в сумме 8,0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. Методика по определению размера суммы межбюджетного  трансферта на осуществления передаваемых полномочий по организации теплоснабжения в границах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муниципальным образованием не разработана.</w:t>
      </w:r>
    </w:p>
    <w:p w:rsidR="00D614E7" w:rsidRPr="00133E07" w:rsidRDefault="00D614E7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В соответствии со ст. 172 БК РФ </w:t>
      </w:r>
      <w:r w:rsidR="001A63E4" w:rsidRPr="00133E07">
        <w:rPr>
          <w:rFonts w:ascii="Times New Roman" w:hAnsi="Times New Roman" w:cs="Times New Roman"/>
          <w:sz w:val="28"/>
          <w:szCs w:val="28"/>
        </w:rPr>
        <w:t>п</w:t>
      </w:r>
      <w:r w:rsidRPr="00133E07">
        <w:rPr>
          <w:rFonts w:ascii="Times New Roman" w:hAnsi="Times New Roman" w:cs="Times New Roman"/>
          <w:sz w:val="28"/>
          <w:szCs w:val="28"/>
        </w:rPr>
        <w:t xml:space="preserve">роектом решения о бюджете </w:t>
      </w:r>
      <w:r w:rsidR="001A63E4" w:rsidRPr="00133E07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D614E7" w:rsidRPr="00133E07">
        <w:rPr>
          <w:rFonts w:ascii="Times New Roman" w:hAnsi="Times New Roman" w:cs="Times New Roman"/>
          <w:sz w:val="28"/>
          <w:szCs w:val="28"/>
        </w:rPr>
        <w:t xml:space="preserve">трем </w:t>
      </w:r>
      <w:r w:rsidRPr="00133E07">
        <w:rPr>
          <w:rFonts w:ascii="Times New Roman" w:hAnsi="Times New Roman" w:cs="Times New Roman"/>
          <w:sz w:val="28"/>
          <w:szCs w:val="28"/>
        </w:rPr>
        <w:t xml:space="preserve">муниципальным программам в сумме </w:t>
      </w:r>
      <w:r w:rsidR="00D614E7" w:rsidRPr="00133E07">
        <w:rPr>
          <w:rFonts w:ascii="Times New Roman" w:hAnsi="Times New Roman" w:cs="Times New Roman"/>
          <w:sz w:val="28"/>
          <w:szCs w:val="28"/>
        </w:rPr>
        <w:t xml:space="preserve">2335,2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3E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E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>.</w:t>
      </w:r>
    </w:p>
    <w:p w:rsidR="001846E8" w:rsidRPr="00133E0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Проект бюдж</w:t>
      </w:r>
      <w:r w:rsidR="00D75F34" w:rsidRPr="00133E07"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 w:rsidR="0071632B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71632B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</w:t>
      </w:r>
      <w:r w:rsidR="00D75F34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>201</w:t>
      </w:r>
      <w:r w:rsidR="00D614E7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бюджетным законодательством и нормативно-правовыми  актами органов местного самоуправления района. В соответствии со статьей 28 Бюджетного кодекса при составлении проекта бюджета учтены основные </w:t>
      </w:r>
      <w:r w:rsidR="00D75F34" w:rsidRPr="00133E07">
        <w:rPr>
          <w:rFonts w:ascii="Times New Roman" w:hAnsi="Times New Roman" w:cs="Times New Roman"/>
          <w:sz w:val="28"/>
          <w:szCs w:val="28"/>
        </w:rPr>
        <w:t>принципы бюджетной системы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полнот</w:t>
      </w:r>
      <w:r w:rsidR="00D75F34" w:rsidRPr="00133E07">
        <w:rPr>
          <w:rFonts w:ascii="Times New Roman" w:hAnsi="Times New Roman" w:cs="Times New Roman"/>
          <w:sz w:val="28"/>
          <w:szCs w:val="28"/>
        </w:rPr>
        <w:t xml:space="preserve">а </w:t>
      </w:r>
      <w:r w:rsidRPr="00133E07">
        <w:rPr>
          <w:rFonts w:ascii="Times New Roman" w:hAnsi="Times New Roman" w:cs="Times New Roman"/>
          <w:sz w:val="28"/>
          <w:szCs w:val="28"/>
        </w:rPr>
        <w:t>отражения доходов и расходов бюджета, сбалансированность, общее (совокупное) покрытие расходов бюджета, гласность, достоверность, адресность и целевой характер бюджетных средств.</w:t>
      </w:r>
    </w:p>
    <w:p w:rsidR="001846E8" w:rsidRPr="00133E0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 w:rsidR="009B53C9"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9B53C9"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133E07">
        <w:rPr>
          <w:rFonts w:ascii="Times New Roman" w:hAnsi="Times New Roman" w:cs="Times New Roman"/>
          <w:sz w:val="28"/>
          <w:szCs w:val="28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 на 201</w:t>
      </w:r>
      <w:r w:rsidR="00D614E7" w:rsidRPr="00133E07">
        <w:rPr>
          <w:rFonts w:ascii="Times New Roman" w:hAnsi="Times New Roman" w:cs="Times New Roman"/>
          <w:sz w:val="28"/>
          <w:szCs w:val="28"/>
        </w:rPr>
        <w:t>8</w:t>
      </w:r>
      <w:r w:rsidR="009B53C9" w:rsidRP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>год, распределение расходов по разделам и подразделам бюджетной классификации и ведомственной структуре</w:t>
      </w:r>
      <w:r w:rsidR="009B53C9" w:rsidRPr="00133E07">
        <w:rPr>
          <w:rFonts w:ascii="Times New Roman" w:hAnsi="Times New Roman" w:cs="Times New Roman"/>
          <w:sz w:val="28"/>
          <w:szCs w:val="28"/>
        </w:rPr>
        <w:t>.</w:t>
      </w:r>
      <w:r w:rsidRPr="001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9B53C9" w:rsidRPr="00133E07" w:rsidRDefault="009B53C9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FF8" w:rsidRDefault="00891FF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91FF8" w:rsidRDefault="00891FF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E8" w:rsidRPr="00133E07" w:rsidRDefault="001846E8" w:rsidP="00D7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07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Предложения:</w:t>
      </w:r>
    </w:p>
    <w:p w:rsidR="0050586D" w:rsidRPr="00133E07" w:rsidRDefault="0050586D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Учитывая средства на предстоящий 201</w:t>
      </w:r>
      <w:r w:rsidR="00035EBC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год, главному распорядителю средств бюджета следует:</w:t>
      </w: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 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поселения;</w:t>
      </w: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-Обеспечить целевое и эффективное расходование бюджетных средств;</w:t>
      </w: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-При принятии муниципальных программ соблюдать все требования, предусмотренные Порядком от 12.09.2014 года № 170;</w:t>
      </w: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(ст.157 БК РФ);</w:t>
      </w:r>
    </w:p>
    <w:p w:rsidR="00035EBC" w:rsidRPr="00133E07" w:rsidRDefault="00035EBC" w:rsidP="000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-Разработать методику распределения межбюджетных трансфертов на осуществления передаваемых полномочий по организации теплоснабжения в границах </w:t>
      </w:r>
      <w:proofErr w:type="spellStart"/>
      <w:r w:rsidR="00523489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38579D">
        <w:rPr>
          <w:rFonts w:ascii="Times New Roman" w:hAnsi="Times New Roman" w:cs="Times New Roman"/>
          <w:sz w:val="28"/>
          <w:szCs w:val="28"/>
        </w:rPr>
        <w:t xml:space="preserve"> </w:t>
      </w:r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035EBC" w:rsidRPr="00133E07" w:rsidRDefault="00035EBC" w:rsidP="0003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проект Решения Совета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133E0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D9288A" w:rsidRPr="00133E07">
        <w:rPr>
          <w:rFonts w:ascii="Times New Roman" w:hAnsi="Times New Roman" w:cs="Times New Roman"/>
          <w:sz w:val="28"/>
          <w:szCs w:val="28"/>
        </w:rPr>
        <w:t>7</w:t>
      </w:r>
      <w:r w:rsidRPr="00133E07">
        <w:rPr>
          <w:rFonts w:ascii="Times New Roman" w:hAnsi="Times New Roman" w:cs="Times New Roman"/>
          <w:sz w:val="28"/>
          <w:szCs w:val="28"/>
        </w:rPr>
        <w:t xml:space="preserve"> год», является сбалансированным, минимально достаточным, бездефицитным.</w:t>
      </w: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C9" w:rsidRPr="00133E07" w:rsidRDefault="009B53C9" w:rsidP="009B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Инспектор контрольно-счетной палаты</w:t>
      </w:r>
    </w:p>
    <w:p w:rsidR="009B53C9" w:rsidRPr="00133E07" w:rsidRDefault="009B53C9" w:rsidP="009B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53C9" w:rsidRPr="00133E07" w:rsidRDefault="009B53C9" w:rsidP="009B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7">
        <w:rPr>
          <w:rFonts w:ascii="Times New Roman" w:hAnsi="Times New Roman" w:cs="Times New Roman"/>
          <w:sz w:val="28"/>
          <w:szCs w:val="28"/>
        </w:rPr>
        <w:t>Славянский район</w:t>
      </w:r>
      <w:r w:rsidRPr="00133E07">
        <w:rPr>
          <w:rFonts w:ascii="Times New Roman" w:hAnsi="Times New Roman" w:cs="Times New Roman"/>
          <w:sz w:val="28"/>
          <w:szCs w:val="28"/>
        </w:rPr>
        <w:tab/>
      </w:r>
      <w:r w:rsidRPr="00133E07">
        <w:rPr>
          <w:rFonts w:ascii="Times New Roman" w:hAnsi="Times New Roman" w:cs="Times New Roman"/>
          <w:sz w:val="28"/>
          <w:szCs w:val="28"/>
        </w:rPr>
        <w:tab/>
      </w:r>
      <w:r w:rsidRPr="00133E07">
        <w:rPr>
          <w:rFonts w:ascii="Times New Roman" w:hAnsi="Times New Roman" w:cs="Times New Roman"/>
          <w:sz w:val="28"/>
          <w:szCs w:val="28"/>
        </w:rPr>
        <w:tab/>
      </w:r>
      <w:r w:rsidRPr="00133E07">
        <w:rPr>
          <w:rFonts w:ascii="Times New Roman" w:hAnsi="Times New Roman" w:cs="Times New Roman"/>
          <w:sz w:val="28"/>
          <w:szCs w:val="28"/>
        </w:rPr>
        <w:tab/>
      </w:r>
      <w:r w:rsidRPr="00133E0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133E07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9B53C9" w:rsidRPr="00133E07" w:rsidRDefault="009B53C9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39C" w:rsidRPr="00133E07" w:rsidRDefault="00A3739C" w:rsidP="009B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39C" w:rsidRPr="00133E07" w:rsidSect="00D9401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73" w:rsidRDefault="00EE7F73" w:rsidP="00D9401A">
      <w:pPr>
        <w:spacing w:after="0" w:line="240" w:lineRule="auto"/>
      </w:pPr>
      <w:r>
        <w:separator/>
      </w:r>
    </w:p>
  </w:endnote>
  <w:endnote w:type="continuationSeparator" w:id="0">
    <w:p w:rsidR="00EE7F73" w:rsidRDefault="00EE7F73" w:rsidP="00D9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73" w:rsidRDefault="00EE7F73" w:rsidP="00D9401A">
      <w:pPr>
        <w:spacing w:after="0" w:line="240" w:lineRule="auto"/>
      </w:pPr>
      <w:r>
        <w:separator/>
      </w:r>
    </w:p>
  </w:footnote>
  <w:footnote w:type="continuationSeparator" w:id="0">
    <w:p w:rsidR="00EE7F73" w:rsidRDefault="00EE7F73" w:rsidP="00D9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307445"/>
    </w:sdtPr>
    <w:sdtEndPr/>
    <w:sdtContent>
      <w:p w:rsidR="0038579D" w:rsidRDefault="003857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C2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8579D" w:rsidRPr="006559C1" w:rsidRDefault="003857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6CA"/>
    <w:multiLevelType w:val="hybridMultilevel"/>
    <w:tmpl w:val="499A0C6E"/>
    <w:lvl w:ilvl="0" w:tplc="391A0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170DE"/>
    <w:multiLevelType w:val="hybridMultilevel"/>
    <w:tmpl w:val="14D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621D"/>
    <w:multiLevelType w:val="hybridMultilevel"/>
    <w:tmpl w:val="813C42A0"/>
    <w:lvl w:ilvl="0" w:tplc="DBD05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7C9"/>
    <w:rsid w:val="00000557"/>
    <w:rsid w:val="00001195"/>
    <w:rsid w:val="00024D9F"/>
    <w:rsid w:val="000266B1"/>
    <w:rsid w:val="00035EBC"/>
    <w:rsid w:val="000437A1"/>
    <w:rsid w:val="000473D1"/>
    <w:rsid w:val="000525A2"/>
    <w:rsid w:val="00052B6E"/>
    <w:rsid w:val="00055C48"/>
    <w:rsid w:val="0006772B"/>
    <w:rsid w:val="00067B12"/>
    <w:rsid w:val="00071BA6"/>
    <w:rsid w:val="000869E6"/>
    <w:rsid w:val="0008700C"/>
    <w:rsid w:val="000A3005"/>
    <w:rsid w:val="000A7690"/>
    <w:rsid w:val="000C36B8"/>
    <w:rsid w:val="000D073D"/>
    <w:rsid w:val="00102300"/>
    <w:rsid w:val="00106016"/>
    <w:rsid w:val="00114D58"/>
    <w:rsid w:val="00120152"/>
    <w:rsid w:val="00121E0B"/>
    <w:rsid w:val="00133E07"/>
    <w:rsid w:val="0014762F"/>
    <w:rsid w:val="001549E1"/>
    <w:rsid w:val="001646F4"/>
    <w:rsid w:val="001669FA"/>
    <w:rsid w:val="00182665"/>
    <w:rsid w:val="001846E8"/>
    <w:rsid w:val="0019398E"/>
    <w:rsid w:val="001939C2"/>
    <w:rsid w:val="001A20F0"/>
    <w:rsid w:val="001A2164"/>
    <w:rsid w:val="001A63E4"/>
    <w:rsid w:val="001A72BF"/>
    <w:rsid w:val="001A7987"/>
    <w:rsid w:val="001B0CEF"/>
    <w:rsid w:val="001B219B"/>
    <w:rsid w:val="001C1AF3"/>
    <w:rsid w:val="001C36E2"/>
    <w:rsid w:val="001E0A27"/>
    <w:rsid w:val="001E2E6F"/>
    <w:rsid w:val="001E3055"/>
    <w:rsid w:val="001E3E79"/>
    <w:rsid w:val="001E584F"/>
    <w:rsid w:val="001F0B78"/>
    <w:rsid w:val="001F1EB7"/>
    <w:rsid w:val="001F2BF7"/>
    <w:rsid w:val="001F7E7F"/>
    <w:rsid w:val="002051C0"/>
    <w:rsid w:val="002122B9"/>
    <w:rsid w:val="00212ECE"/>
    <w:rsid w:val="00217FDA"/>
    <w:rsid w:val="00222097"/>
    <w:rsid w:val="00231691"/>
    <w:rsid w:val="00231B96"/>
    <w:rsid w:val="00235DE6"/>
    <w:rsid w:val="002503BD"/>
    <w:rsid w:val="00253413"/>
    <w:rsid w:val="0025525B"/>
    <w:rsid w:val="00267401"/>
    <w:rsid w:val="002717AA"/>
    <w:rsid w:val="00276429"/>
    <w:rsid w:val="0027754C"/>
    <w:rsid w:val="00283F55"/>
    <w:rsid w:val="002921BE"/>
    <w:rsid w:val="00295883"/>
    <w:rsid w:val="00295FB0"/>
    <w:rsid w:val="00297869"/>
    <w:rsid w:val="002A31AC"/>
    <w:rsid w:val="002A40EB"/>
    <w:rsid w:val="002A487D"/>
    <w:rsid w:val="002A5D71"/>
    <w:rsid w:val="002A757C"/>
    <w:rsid w:val="002A75F9"/>
    <w:rsid w:val="002B5E18"/>
    <w:rsid w:val="002C13FC"/>
    <w:rsid w:val="002C3A53"/>
    <w:rsid w:val="002C7CE0"/>
    <w:rsid w:val="002D15A8"/>
    <w:rsid w:val="002E1BEB"/>
    <w:rsid w:val="002F043B"/>
    <w:rsid w:val="002F3E32"/>
    <w:rsid w:val="00305B63"/>
    <w:rsid w:val="00306FB5"/>
    <w:rsid w:val="00311EF4"/>
    <w:rsid w:val="00320001"/>
    <w:rsid w:val="003241FE"/>
    <w:rsid w:val="0032639B"/>
    <w:rsid w:val="003263BF"/>
    <w:rsid w:val="003269FF"/>
    <w:rsid w:val="003278FE"/>
    <w:rsid w:val="00335B24"/>
    <w:rsid w:val="0034153B"/>
    <w:rsid w:val="00346751"/>
    <w:rsid w:val="00346BE4"/>
    <w:rsid w:val="003551E9"/>
    <w:rsid w:val="00362BFE"/>
    <w:rsid w:val="003748ED"/>
    <w:rsid w:val="0038579D"/>
    <w:rsid w:val="00394857"/>
    <w:rsid w:val="003C267F"/>
    <w:rsid w:val="003D29C3"/>
    <w:rsid w:val="003E46D5"/>
    <w:rsid w:val="003E4BE7"/>
    <w:rsid w:val="003E77C9"/>
    <w:rsid w:val="003F2FDA"/>
    <w:rsid w:val="003F44C5"/>
    <w:rsid w:val="0040333A"/>
    <w:rsid w:val="00404823"/>
    <w:rsid w:val="0040708F"/>
    <w:rsid w:val="00412133"/>
    <w:rsid w:val="004126C1"/>
    <w:rsid w:val="00424F17"/>
    <w:rsid w:val="0043090D"/>
    <w:rsid w:val="00431C3C"/>
    <w:rsid w:val="004349B4"/>
    <w:rsid w:val="00437EFA"/>
    <w:rsid w:val="00440C7E"/>
    <w:rsid w:val="00442E8E"/>
    <w:rsid w:val="004511CA"/>
    <w:rsid w:val="004525D9"/>
    <w:rsid w:val="004646C9"/>
    <w:rsid w:val="00470765"/>
    <w:rsid w:val="004759AC"/>
    <w:rsid w:val="00492AF7"/>
    <w:rsid w:val="00493988"/>
    <w:rsid w:val="004939BF"/>
    <w:rsid w:val="00494DC9"/>
    <w:rsid w:val="004A4E02"/>
    <w:rsid w:val="004B3A72"/>
    <w:rsid w:val="004C1E21"/>
    <w:rsid w:val="004C4D68"/>
    <w:rsid w:val="004C7B91"/>
    <w:rsid w:val="004D3DEF"/>
    <w:rsid w:val="004D46C8"/>
    <w:rsid w:val="004E226A"/>
    <w:rsid w:val="004E230E"/>
    <w:rsid w:val="004E61CB"/>
    <w:rsid w:val="00500079"/>
    <w:rsid w:val="005020AD"/>
    <w:rsid w:val="00504782"/>
    <w:rsid w:val="0050586D"/>
    <w:rsid w:val="00523489"/>
    <w:rsid w:val="00544431"/>
    <w:rsid w:val="00545132"/>
    <w:rsid w:val="00552328"/>
    <w:rsid w:val="00556054"/>
    <w:rsid w:val="005577CF"/>
    <w:rsid w:val="005606DF"/>
    <w:rsid w:val="00560C51"/>
    <w:rsid w:val="005633DE"/>
    <w:rsid w:val="005637F3"/>
    <w:rsid w:val="00570A5B"/>
    <w:rsid w:val="005959ED"/>
    <w:rsid w:val="00595D54"/>
    <w:rsid w:val="005A2AAD"/>
    <w:rsid w:val="005A2F31"/>
    <w:rsid w:val="005A5835"/>
    <w:rsid w:val="005A6E25"/>
    <w:rsid w:val="005B2974"/>
    <w:rsid w:val="005C3BF8"/>
    <w:rsid w:val="005C5CBD"/>
    <w:rsid w:val="005D4394"/>
    <w:rsid w:val="005F452C"/>
    <w:rsid w:val="005F7026"/>
    <w:rsid w:val="005F7428"/>
    <w:rsid w:val="0060441E"/>
    <w:rsid w:val="006167FC"/>
    <w:rsid w:val="006246AC"/>
    <w:rsid w:val="0063290E"/>
    <w:rsid w:val="00632CDF"/>
    <w:rsid w:val="00644ACB"/>
    <w:rsid w:val="006559C1"/>
    <w:rsid w:val="00656F33"/>
    <w:rsid w:val="00672375"/>
    <w:rsid w:val="00672D4E"/>
    <w:rsid w:val="00680E23"/>
    <w:rsid w:val="00695AC8"/>
    <w:rsid w:val="00695BBA"/>
    <w:rsid w:val="00696C79"/>
    <w:rsid w:val="006A36DF"/>
    <w:rsid w:val="006A7BDC"/>
    <w:rsid w:val="006C199A"/>
    <w:rsid w:val="006D32BB"/>
    <w:rsid w:val="006E4681"/>
    <w:rsid w:val="006E542D"/>
    <w:rsid w:val="006E772E"/>
    <w:rsid w:val="006F0FB7"/>
    <w:rsid w:val="006F4BFC"/>
    <w:rsid w:val="00704D4A"/>
    <w:rsid w:val="00711F16"/>
    <w:rsid w:val="0071632B"/>
    <w:rsid w:val="00721C71"/>
    <w:rsid w:val="00727B6E"/>
    <w:rsid w:val="0073211E"/>
    <w:rsid w:val="00734726"/>
    <w:rsid w:val="00750E10"/>
    <w:rsid w:val="00754873"/>
    <w:rsid w:val="00762EED"/>
    <w:rsid w:val="007707F7"/>
    <w:rsid w:val="007708D7"/>
    <w:rsid w:val="007728A8"/>
    <w:rsid w:val="00772C2D"/>
    <w:rsid w:val="00773AED"/>
    <w:rsid w:val="0077736D"/>
    <w:rsid w:val="00777E36"/>
    <w:rsid w:val="00782EF4"/>
    <w:rsid w:val="00783161"/>
    <w:rsid w:val="00795D4C"/>
    <w:rsid w:val="00797C6F"/>
    <w:rsid w:val="007A273B"/>
    <w:rsid w:val="007A4791"/>
    <w:rsid w:val="007A7E92"/>
    <w:rsid w:val="007B3E4D"/>
    <w:rsid w:val="007B4492"/>
    <w:rsid w:val="007C2C6D"/>
    <w:rsid w:val="007E2758"/>
    <w:rsid w:val="007E28DC"/>
    <w:rsid w:val="007E3BDD"/>
    <w:rsid w:val="007F33DB"/>
    <w:rsid w:val="007F6089"/>
    <w:rsid w:val="007F6FFB"/>
    <w:rsid w:val="0080794A"/>
    <w:rsid w:val="00813528"/>
    <w:rsid w:val="008152A3"/>
    <w:rsid w:val="008171B0"/>
    <w:rsid w:val="00822F1C"/>
    <w:rsid w:val="00824287"/>
    <w:rsid w:val="0084535D"/>
    <w:rsid w:val="0084561D"/>
    <w:rsid w:val="0085348B"/>
    <w:rsid w:val="008540E5"/>
    <w:rsid w:val="0086562C"/>
    <w:rsid w:val="00873A55"/>
    <w:rsid w:val="008765D4"/>
    <w:rsid w:val="00891FF8"/>
    <w:rsid w:val="008A2EC4"/>
    <w:rsid w:val="008B0E12"/>
    <w:rsid w:val="008B4B92"/>
    <w:rsid w:val="008C1615"/>
    <w:rsid w:val="008C748C"/>
    <w:rsid w:val="008D523D"/>
    <w:rsid w:val="0091289C"/>
    <w:rsid w:val="009242F2"/>
    <w:rsid w:val="00925439"/>
    <w:rsid w:val="00932DEF"/>
    <w:rsid w:val="009370E8"/>
    <w:rsid w:val="00945325"/>
    <w:rsid w:val="009572FE"/>
    <w:rsid w:val="00964E25"/>
    <w:rsid w:val="00965EE2"/>
    <w:rsid w:val="009954DC"/>
    <w:rsid w:val="009976FA"/>
    <w:rsid w:val="009A50EB"/>
    <w:rsid w:val="009B1C6B"/>
    <w:rsid w:val="009B26F2"/>
    <w:rsid w:val="009B3DFA"/>
    <w:rsid w:val="009B4C57"/>
    <w:rsid w:val="009B53C9"/>
    <w:rsid w:val="009B63F1"/>
    <w:rsid w:val="009B66A7"/>
    <w:rsid w:val="009C07D6"/>
    <w:rsid w:val="009C1076"/>
    <w:rsid w:val="009C6354"/>
    <w:rsid w:val="009C7849"/>
    <w:rsid w:val="009F2450"/>
    <w:rsid w:val="009F4024"/>
    <w:rsid w:val="00A032BF"/>
    <w:rsid w:val="00A0392B"/>
    <w:rsid w:val="00A04573"/>
    <w:rsid w:val="00A1214F"/>
    <w:rsid w:val="00A23C11"/>
    <w:rsid w:val="00A30F66"/>
    <w:rsid w:val="00A32633"/>
    <w:rsid w:val="00A3739C"/>
    <w:rsid w:val="00A51921"/>
    <w:rsid w:val="00A5509E"/>
    <w:rsid w:val="00A60765"/>
    <w:rsid w:val="00A60E61"/>
    <w:rsid w:val="00A6237B"/>
    <w:rsid w:val="00A65C6C"/>
    <w:rsid w:val="00A7345E"/>
    <w:rsid w:val="00A765BB"/>
    <w:rsid w:val="00A768A3"/>
    <w:rsid w:val="00A846B0"/>
    <w:rsid w:val="00AA4594"/>
    <w:rsid w:val="00AA7026"/>
    <w:rsid w:val="00AB6084"/>
    <w:rsid w:val="00AB61E7"/>
    <w:rsid w:val="00AC3496"/>
    <w:rsid w:val="00AC3944"/>
    <w:rsid w:val="00AC58FF"/>
    <w:rsid w:val="00AD02F9"/>
    <w:rsid w:val="00AD4041"/>
    <w:rsid w:val="00AD5482"/>
    <w:rsid w:val="00AE391D"/>
    <w:rsid w:val="00AE4297"/>
    <w:rsid w:val="00AE486F"/>
    <w:rsid w:val="00AE6B56"/>
    <w:rsid w:val="00AF23A3"/>
    <w:rsid w:val="00AF7764"/>
    <w:rsid w:val="00B0020F"/>
    <w:rsid w:val="00B00301"/>
    <w:rsid w:val="00B07820"/>
    <w:rsid w:val="00B162AB"/>
    <w:rsid w:val="00B207DD"/>
    <w:rsid w:val="00B52F7B"/>
    <w:rsid w:val="00B53C51"/>
    <w:rsid w:val="00B54E16"/>
    <w:rsid w:val="00B55656"/>
    <w:rsid w:val="00B63545"/>
    <w:rsid w:val="00B66474"/>
    <w:rsid w:val="00B677A3"/>
    <w:rsid w:val="00B724C5"/>
    <w:rsid w:val="00B77D03"/>
    <w:rsid w:val="00B80CB8"/>
    <w:rsid w:val="00B819A9"/>
    <w:rsid w:val="00B84E67"/>
    <w:rsid w:val="00BA1F68"/>
    <w:rsid w:val="00BA654B"/>
    <w:rsid w:val="00BB0A66"/>
    <w:rsid w:val="00BC3FAC"/>
    <w:rsid w:val="00BC4DDE"/>
    <w:rsid w:val="00BC599F"/>
    <w:rsid w:val="00BC7DDE"/>
    <w:rsid w:val="00BD15C2"/>
    <w:rsid w:val="00BE566D"/>
    <w:rsid w:val="00BF2848"/>
    <w:rsid w:val="00BF35A7"/>
    <w:rsid w:val="00BF3D78"/>
    <w:rsid w:val="00BF6C21"/>
    <w:rsid w:val="00C02538"/>
    <w:rsid w:val="00C05EA3"/>
    <w:rsid w:val="00C07AAD"/>
    <w:rsid w:val="00C12BB2"/>
    <w:rsid w:val="00C13174"/>
    <w:rsid w:val="00C15E7B"/>
    <w:rsid w:val="00C15EB6"/>
    <w:rsid w:val="00C170DA"/>
    <w:rsid w:val="00C2123A"/>
    <w:rsid w:val="00C263AB"/>
    <w:rsid w:val="00C27004"/>
    <w:rsid w:val="00C37AD2"/>
    <w:rsid w:val="00C40C9E"/>
    <w:rsid w:val="00C411BE"/>
    <w:rsid w:val="00C44FE0"/>
    <w:rsid w:val="00C45DB3"/>
    <w:rsid w:val="00C5443F"/>
    <w:rsid w:val="00C87BF4"/>
    <w:rsid w:val="00C9280B"/>
    <w:rsid w:val="00C93B96"/>
    <w:rsid w:val="00C94885"/>
    <w:rsid w:val="00C972E2"/>
    <w:rsid w:val="00CA688A"/>
    <w:rsid w:val="00CB0452"/>
    <w:rsid w:val="00CB62B3"/>
    <w:rsid w:val="00CC0F91"/>
    <w:rsid w:val="00CC3F52"/>
    <w:rsid w:val="00CD23E7"/>
    <w:rsid w:val="00CD51A9"/>
    <w:rsid w:val="00CD5653"/>
    <w:rsid w:val="00CD7706"/>
    <w:rsid w:val="00CE0D67"/>
    <w:rsid w:val="00D11563"/>
    <w:rsid w:val="00D13A32"/>
    <w:rsid w:val="00D3072D"/>
    <w:rsid w:val="00D326C4"/>
    <w:rsid w:val="00D37833"/>
    <w:rsid w:val="00D614E7"/>
    <w:rsid w:val="00D75C98"/>
    <w:rsid w:val="00D75F34"/>
    <w:rsid w:val="00D76523"/>
    <w:rsid w:val="00D83C95"/>
    <w:rsid w:val="00D84A9E"/>
    <w:rsid w:val="00D87E60"/>
    <w:rsid w:val="00D90079"/>
    <w:rsid w:val="00D9288A"/>
    <w:rsid w:val="00D9401A"/>
    <w:rsid w:val="00D94F27"/>
    <w:rsid w:val="00D954E0"/>
    <w:rsid w:val="00DA06AF"/>
    <w:rsid w:val="00DA7FB6"/>
    <w:rsid w:val="00DB0656"/>
    <w:rsid w:val="00DC708D"/>
    <w:rsid w:val="00DC7F7B"/>
    <w:rsid w:val="00DE32BC"/>
    <w:rsid w:val="00DF4D23"/>
    <w:rsid w:val="00E05A03"/>
    <w:rsid w:val="00E06BA3"/>
    <w:rsid w:val="00E223C0"/>
    <w:rsid w:val="00E251C7"/>
    <w:rsid w:val="00E2758C"/>
    <w:rsid w:val="00E277F5"/>
    <w:rsid w:val="00E32EAE"/>
    <w:rsid w:val="00E512AD"/>
    <w:rsid w:val="00E54EC1"/>
    <w:rsid w:val="00E55477"/>
    <w:rsid w:val="00E62313"/>
    <w:rsid w:val="00E66E6E"/>
    <w:rsid w:val="00E722E8"/>
    <w:rsid w:val="00E815A5"/>
    <w:rsid w:val="00E82DA7"/>
    <w:rsid w:val="00E8317E"/>
    <w:rsid w:val="00E83A45"/>
    <w:rsid w:val="00E86E88"/>
    <w:rsid w:val="00E90D62"/>
    <w:rsid w:val="00EA2237"/>
    <w:rsid w:val="00EA32F2"/>
    <w:rsid w:val="00EB7A4E"/>
    <w:rsid w:val="00EC13C8"/>
    <w:rsid w:val="00EC6ED9"/>
    <w:rsid w:val="00EC7C43"/>
    <w:rsid w:val="00ED22FD"/>
    <w:rsid w:val="00ED4021"/>
    <w:rsid w:val="00ED478B"/>
    <w:rsid w:val="00EE24F3"/>
    <w:rsid w:val="00EE7F73"/>
    <w:rsid w:val="00EF1574"/>
    <w:rsid w:val="00EF18CB"/>
    <w:rsid w:val="00EF40ED"/>
    <w:rsid w:val="00EF70A7"/>
    <w:rsid w:val="00F0581E"/>
    <w:rsid w:val="00F25A16"/>
    <w:rsid w:val="00F26D87"/>
    <w:rsid w:val="00F42177"/>
    <w:rsid w:val="00F50E09"/>
    <w:rsid w:val="00F55FAD"/>
    <w:rsid w:val="00F65291"/>
    <w:rsid w:val="00F67ADA"/>
    <w:rsid w:val="00F7535A"/>
    <w:rsid w:val="00F765CC"/>
    <w:rsid w:val="00F825FC"/>
    <w:rsid w:val="00FA48BD"/>
    <w:rsid w:val="00FA5011"/>
    <w:rsid w:val="00FA5846"/>
    <w:rsid w:val="00FB3B62"/>
    <w:rsid w:val="00FB65CD"/>
    <w:rsid w:val="00FC55B1"/>
    <w:rsid w:val="00FC7058"/>
    <w:rsid w:val="00FE293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01A"/>
  </w:style>
  <w:style w:type="paragraph" w:styleId="a7">
    <w:name w:val="footer"/>
    <w:basedOn w:val="a"/>
    <w:link w:val="a8"/>
    <w:uiPriority w:val="99"/>
    <w:unhideWhenUsed/>
    <w:rsid w:val="00D9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01A"/>
  </w:style>
  <w:style w:type="paragraph" w:styleId="a9">
    <w:name w:val="Balloon Text"/>
    <w:basedOn w:val="a"/>
    <w:link w:val="aa"/>
    <w:uiPriority w:val="99"/>
    <w:semiHidden/>
    <w:unhideWhenUsed/>
    <w:rsid w:val="002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D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664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Стуктура</a:t>
            </a:r>
            <a:r>
              <a:rPr lang="ru-RU" sz="1400" baseline="0"/>
              <a:t> доходов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473784266550014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552E-2"/>
          <c:y val="0.2498015873015873"/>
          <c:w val="0.59696868620589094"/>
          <c:h val="0.702579365079365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83,7%</c:v>
                </c:pt>
                <c:pt idx="1">
                  <c:v>Неналоговые доходы 5%</c:v>
                </c:pt>
                <c:pt idx="2">
                  <c:v>Безвоздмездные поступления 16,2%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0.83699999999999997</c:v>
                </c:pt>
                <c:pt idx="1">
                  <c:v>0.05</c:v>
                </c:pt>
                <c:pt idx="2" formatCode="0.00%">
                  <c:v>0.16200000000000001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95321637426906"/>
          <c:y val="0.404864844835572"/>
          <c:w val="0.34035087719298246"/>
          <c:h val="0.425870495599814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вопросы-48,83%</c:v>
                </c:pt>
                <c:pt idx="1">
                  <c:v>Национальная оборона-0,8%</c:v>
                </c:pt>
                <c:pt idx="2">
                  <c:v>Национальна безопасность-0,04%</c:v>
                </c:pt>
                <c:pt idx="3">
                  <c:v>Национальная экономика-16,4%</c:v>
                </c:pt>
                <c:pt idx="4">
                  <c:v>ЖКХ-8,52%</c:v>
                </c:pt>
                <c:pt idx="5">
                  <c:v>Образование-0,32%</c:v>
                </c:pt>
                <c:pt idx="6">
                  <c:v>Культура-23,5%</c:v>
                </c:pt>
                <c:pt idx="7">
                  <c:v>Социальная политика-1,07%</c:v>
                </c:pt>
                <c:pt idx="8">
                  <c:v>Обслуживание долга-0,5%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0.48830000000000001</c:v>
                </c:pt>
                <c:pt idx="1">
                  <c:v>8.9999999999999993E-3</c:v>
                </c:pt>
                <c:pt idx="2">
                  <c:v>4.0000000000000002E-4</c:v>
                </c:pt>
                <c:pt idx="3">
                  <c:v>0.16400000000000001</c:v>
                </c:pt>
                <c:pt idx="4">
                  <c:v>8.5199999999999998E-2</c:v>
                </c:pt>
                <c:pt idx="5">
                  <c:v>3.2000000000000002E-3</c:v>
                </c:pt>
                <c:pt idx="6">
                  <c:v>0.23499999999999999</c:v>
                </c:pt>
                <c:pt idx="7">
                  <c:v>1.0699999999999999E-2</c:v>
                </c:pt>
                <c:pt idx="8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55499851704448"/>
          <c:y val="6.4524587728420735E-2"/>
          <c:w val="0.28302886501277258"/>
          <c:h val="0.894556158074580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34F7-412C-49F3-99B7-D8023441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21</Pages>
  <Words>6628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ОА</cp:lastModifiedBy>
  <cp:revision>190</cp:revision>
  <cp:lastPrinted>2016-12-09T07:28:00Z</cp:lastPrinted>
  <dcterms:created xsi:type="dcterms:W3CDTF">2012-11-22T12:11:00Z</dcterms:created>
  <dcterms:modified xsi:type="dcterms:W3CDTF">2016-12-09T07:55:00Z</dcterms:modified>
</cp:coreProperties>
</file>