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3C" w:rsidRPr="002904A6" w:rsidRDefault="00CD503C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04A6"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Pr="002904A6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04A6">
        <w:rPr>
          <w:rFonts w:ascii="Times New Roman" w:hAnsi="Times New Roman" w:cs="Times New Roman"/>
          <w:b/>
          <w:sz w:val="28"/>
          <w:szCs w:val="28"/>
        </w:rPr>
        <w:t xml:space="preserve"> на проект </w:t>
      </w:r>
      <w:r w:rsidR="00415761" w:rsidRPr="002904A6">
        <w:rPr>
          <w:rFonts w:ascii="Times New Roman" w:hAnsi="Times New Roman" w:cs="Times New Roman"/>
          <w:b/>
          <w:sz w:val="28"/>
          <w:szCs w:val="28"/>
        </w:rPr>
        <w:t>Р</w:t>
      </w:r>
      <w:r w:rsidRPr="002904A6">
        <w:rPr>
          <w:rFonts w:ascii="Times New Roman" w:hAnsi="Times New Roman" w:cs="Times New Roman"/>
          <w:b/>
          <w:sz w:val="28"/>
          <w:szCs w:val="28"/>
        </w:rPr>
        <w:t xml:space="preserve">ешения Совета </w:t>
      </w:r>
      <w:r w:rsidR="007439BF" w:rsidRPr="002904A6">
        <w:rPr>
          <w:rFonts w:ascii="Times New Roman" w:hAnsi="Times New Roman" w:cs="Times New Roman"/>
          <w:b/>
          <w:sz w:val="28"/>
          <w:szCs w:val="28"/>
        </w:rPr>
        <w:t>П</w:t>
      </w:r>
      <w:r w:rsidR="00D16475" w:rsidRPr="002904A6">
        <w:rPr>
          <w:rFonts w:ascii="Times New Roman" w:hAnsi="Times New Roman" w:cs="Times New Roman"/>
          <w:b/>
          <w:sz w:val="28"/>
          <w:szCs w:val="28"/>
        </w:rPr>
        <w:t>етров</w:t>
      </w:r>
      <w:r w:rsidR="007439BF" w:rsidRPr="002904A6">
        <w:rPr>
          <w:rFonts w:ascii="Times New Roman" w:hAnsi="Times New Roman" w:cs="Times New Roman"/>
          <w:b/>
          <w:sz w:val="28"/>
          <w:szCs w:val="28"/>
        </w:rPr>
        <w:t>ского</w:t>
      </w:r>
      <w:r w:rsidR="00140D74" w:rsidRPr="002904A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</w:t>
      </w:r>
      <w:r w:rsidR="005716B2" w:rsidRPr="002904A6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 w:rsidRPr="002904A6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 w:rsidRPr="002904A6">
        <w:rPr>
          <w:rFonts w:ascii="Times New Roman" w:hAnsi="Times New Roman" w:cs="Times New Roman"/>
          <w:b/>
          <w:sz w:val="28"/>
          <w:szCs w:val="28"/>
        </w:rPr>
        <w:t>а</w:t>
      </w:r>
      <w:r w:rsidRPr="002904A6">
        <w:rPr>
          <w:rFonts w:ascii="Times New Roman" w:hAnsi="Times New Roman" w:cs="Times New Roman"/>
          <w:b/>
          <w:sz w:val="28"/>
          <w:szCs w:val="28"/>
        </w:rPr>
        <w:t xml:space="preserve"> «О бюджете П</w:t>
      </w:r>
      <w:r w:rsidR="00D16475" w:rsidRPr="002904A6">
        <w:rPr>
          <w:rFonts w:ascii="Times New Roman" w:hAnsi="Times New Roman" w:cs="Times New Roman"/>
          <w:b/>
          <w:sz w:val="28"/>
          <w:szCs w:val="28"/>
        </w:rPr>
        <w:t>е</w:t>
      </w:r>
      <w:r w:rsidRPr="002904A6">
        <w:rPr>
          <w:rFonts w:ascii="Times New Roman" w:hAnsi="Times New Roman" w:cs="Times New Roman"/>
          <w:b/>
          <w:sz w:val="28"/>
          <w:szCs w:val="28"/>
        </w:rPr>
        <w:t>т</w:t>
      </w:r>
      <w:r w:rsidR="00D16475" w:rsidRPr="002904A6">
        <w:rPr>
          <w:rFonts w:ascii="Times New Roman" w:hAnsi="Times New Roman" w:cs="Times New Roman"/>
          <w:b/>
          <w:sz w:val="28"/>
          <w:szCs w:val="28"/>
        </w:rPr>
        <w:t>р</w:t>
      </w:r>
      <w:r w:rsidRPr="002904A6">
        <w:rPr>
          <w:rFonts w:ascii="Times New Roman" w:hAnsi="Times New Roman" w:cs="Times New Roman"/>
          <w:b/>
          <w:sz w:val="28"/>
          <w:szCs w:val="28"/>
        </w:rPr>
        <w:t>о</w:t>
      </w:r>
      <w:r w:rsidR="00D16475" w:rsidRPr="002904A6">
        <w:rPr>
          <w:rFonts w:ascii="Times New Roman" w:hAnsi="Times New Roman" w:cs="Times New Roman"/>
          <w:b/>
          <w:sz w:val="28"/>
          <w:szCs w:val="28"/>
        </w:rPr>
        <w:t>в</w:t>
      </w:r>
      <w:r w:rsidRPr="002904A6">
        <w:rPr>
          <w:rFonts w:ascii="Times New Roman" w:hAnsi="Times New Roman" w:cs="Times New Roman"/>
          <w:b/>
          <w:sz w:val="28"/>
          <w:szCs w:val="28"/>
        </w:rPr>
        <w:t>ского сельского поселения Славянского района</w:t>
      </w:r>
      <w:r w:rsidR="00140D74" w:rsidRPr="002904A6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 w:rsidRPr="002904A6">
        <w:rPr>
          <w:rFonts w:ascii="Times New Roman" w:hAnsi="Times New Roman" w:cs="Times New Roman"/>
          <w:b/>
          <w:sz w:val="28"/>
          <w:szCs w:val="28"/>
        </w:rPr>
        <w:t>20</w:t>
      </w:r>
      <w:r w:rsidR="001809D4" w:rsidRPr="002904A6">
        <w:rPr>
          <w:rFonts w:ascii="Times New Roman" w:hAnsi="Times New Roman" w:cs="Times New Roman"/>
          <w:b/>
          <w:sz w:val="28"/>
          <w:szCs w:val="28"/>
        </w:rPr>
        <w:t>2</w:t>
      </w:r>
      <w:r w:rsidR="008363AA" w:rsidRPr="002904A6">
        <w:rPr>
          <w:rFonts w:ascii="Times New Roman" w:hAnsi="Times New Roman" w:cs="Times New Roman"/>
          <w:b/>
          <w:sz w:val="28"/>
          <w:szCs w:val="28"/>
        </w:rPr>
        <w:t>1</w:t>
      </w:r>
      <w:r w:rsidR="00140D74" w:rsidRPr="002904A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2904A6">
        <w:rPr>
          <w:rFonts w:ascii="Times New Roman" w:hAnsi="Times New Roman" w:cs="Times New Roman"/>
          <w:b/>
          <w:sz w:val="28"/>
          <w:szCs w:val="28"/>
        </w:rPr>
        <w:t>»</w:t>
      </w:r>
    </w:p>
    <w:p w:rsidR="00CD503C" w:rsidRPr="002904A6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2904A6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2904A6" w:rsidRDefault="00D90E4B" w:rsidP="00165B3E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>1</w:t>
      </w:r>
      <w:r w:rsidR="000F364C" w:rsidRPr="002904A6">
        <w:rPr>
          <w:rFonts w:ascii="Times New Roman" w:hAnsi="Times New Roman" w:cs="Times New Roman"/>
          <w:sz w:val="28"/>
          <w:szCs w:val="28"/>
        </w:rPr>
        <w:t>7</w:t>
      </w:r>
      <w:r w:rsidR="00415761" w:rsidRPr="002904A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CD503C" w:rsidRPr="002904A6">
        <w:rPr>
          <w:rFonts w:ascii="Times New Roman" w:hAnsi="Times New Roman" w:cs="Times New Roman"/>
          <w:sz w:val="28"/>
          <w:szCs w:val="28"/>
        </w:rPr>
        <w:t>20</w:t>
      </w:r>
      <w:r w:rsidR="00077A70">
        <w:rPr>
          <w:rFonts w:ascii="Times New Roman" w:hAnsi="Times New Roman" w:cs="Times New Roman"/>
          <w:sz w:val="28"/>
          <w:szCs w:val="28"/>
        </w:rPr>
        <w:t xml:space="preserve">20 </w:t>
      </w:r>
      <w:r w:rsidR="00CD503C" w:rsidRPr="002904A6">
        <w:rPr>
          <w:rFonts w:ascii="Times New Roman" w:hAnsi="Times New Roman" w:cs="Times New Roman"/>
          <w:sz w:val="28"/>
          <w:szCs w:val="28"/>
        </w:rPr>
        <w:t xml:space="preserve">года        </w:t>
      </w:r>
      <w:r w:rsidR="00077A70">
        <w:rPr>
          <w:rFonts w:ascii="Times New Roman" w:hAnsi="Times New Roman" w:cs="Times New Roman"/>
          <w:sz w:val="28"/>
          <w:szCs w:val="28"/>
        </w:rPr>
        <w:tab/>
      </w:r>
      <w:r w:rsidR="00077A70">
        <w:rPr>
          <w:rFonts w:ascii="Times New Roman" w:hAnsi="Times New Roman" w:cs="Times New Roman"/>
          <w:sz w:val="28"/>
          <w:szCs w:val="28"/>
        </w:rPr>
        <w:tab/>
      </w:r>
      <w:r w:rsidR="00077A70">
        <w:rPr>
          <w:rFonts w:ascii="Times New Roman" w:hAnsi="Times New Roman" w:cs="Times New Roman"/>
          <w:sz w:val="28"/>
          <w:szCs w:val="28"/>
        </w:rPr>
        <w:tab/>
      </w:r>
      <w:r w:rsidR="00077A70">
        <w:rPr>
          <w:rFonts w:ascii="Times New Roman" w:hAnsi="Times New Roman" w:cs="Times New Roman"/>
          <w:sz w:val="28"/>
          <w:szCs w:val="28"/>
        </w:rPr>
        <w:tab/>
      </w:r>
      <w:r w:rsidR="00415761" w:rsidRPr="002904A6">
        <w:rPr>
          <w:rFonts w:ascii="Times New Roman" w:hAnsi="Times New Roman" w:cs="Times New Roman"/>
          <w:sz w:val="28"/>
          <w:szCs w:val="28"/>
        </w:rPr>
        <w:t>Петровское сельское поселение</w:t>
      </w:r>
    </w:p>
    <w:p w:rsidR="00140D74" w:rsidRPr="002904A6" w:rsidRDefault="00415761" w:rsidP="00165B3E">
      <w:pPr>
        <w:tabs>
          <w:tab w:val="left" w:pos="593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Славянского района</w:t>
      </w:r>
    </w:p>
    <w:p w:rsidR="00D05320" w:rsidRPr="002904A6" w:rsidRDefault="00D05320" w:rsidP="0041576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587F" w:rsidRPr="002904A6" w:rsidRDefault="009E587F" w:rsidP="00BB1550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4E7" w:rsidRPr="002904A6" w:rsidRDefault="00CD503C" w:rsidP="00BB1550">
      <w:pPr>
        <w:spacing w:after="0"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 w:rsidRPr="002904A6">
        <w:rPr>
          <w:rFonts w:ascii="Times New Roman" w:hAnsi="Times New Roman" w:cs="Times New Roman"/>
          <w:sz w:val="28"/>
          <w:szCs w:val="28"/>
        </w:rPr>
        <w:t>:</w:t>
      </w:r>
    </w:p>
    <w:p w:rsidR="00415761" w:rsidRPr="002904A6" w:rsidRDefault="00415761" w:rsidP="00415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Бюджетный Кодекс Российской Федерации (далее БК РФ); </w:t>
      </w:r>
    </w:p>
    <w:p w:rsidR="00415761" w:rsidRPr="002904A6" w:rsidRDefault="00415761" w:rsidP="00415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План работы контрольно-счетной палаты на 20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год;</w:t>
      </w:r>
    </w:p>
    <w:p w:rsidR="00415761" w:rsidRPr="002904A6" w:rsidRDefault="00415761" w:rsidP="00415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Положение о контрольно-сч</w:t>
      </w:r>
      <w:r w:rsidR="00F94448" w:rsidRPr="002904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тной палате муниципального образования Славянский район;</w:t>
      </w:r>
    </w:p>
    <w:p w:rsidR="00415761" w:rsidRPr="002904A6" w:rsidRDefault="00415761" w:rsidP="00415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контрольно-счетной палаты муниципального образования Славянский район, утвержденного распоряжением председателя </w:t>
      </w:r>
      <w:r w:rsidR="00F94448" w:rsidRPr="002904A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Славянского района от 24.09.2013г. №15-р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(СФККСП-12);      </w:t>
      </w:r>
    </w:p>
    <w:p w:rsidR="00415761" w:rsidRPr="002904A6" w:rsidRDefault="00415761" w:rsidP="00415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председателя контрольно-счетной палаты муниципального образования Славянский район от 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4448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-э «О проведении экспертизы проектов бюджетов муниципального образования Славянский район, сельских (городского) поселений Славянского района на текущий 20</w:t>
      </w:r>
      <w:r w:rsidR="001809D4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 год и на плановый период 20</w:t>
      </w:r>
      <w:r w:rsidR="00F94448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годов»;</w:t>
      </w:r>
    </w:p>
    <w:p w:rsidR="00415761" w:rsidRPr="002904A6" w:rsidRDefault="00415761" w:rsidP="00415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Удостоверение на право проведения контрольного мероприятия от 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82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/ЭАМ;</w:t>
      </w:r>
    </w:p>
    <w:p w:rsidR="000A0EA3" w:rsidRDefault="000A0EA3" w:rsidP="00415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EA3">
        <w:rPr>
          <w:rFonts w:ascii="Times New Roman" w:eastAsia="Times New Roman" w:hAnsi="Times New Roman" w:cs="Times New Roman"/>
          <w:sz w:val="28"/>
          <w:szCs w:val="28"/>
        </w:rPr>
        <w:t>Соглашени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EA3">
        <w:rPr>
          <w:rFonts w:ascii="Times New Roman" w:eastAsia="Times New Roman" w:hAnsi="Times New Roman" w:cs="Times New Roman"/>
          <w:sz w:val="28"/>
          <w:szCs w:val="28"/>
        </w:rPr>
        <w:t xml:space="preserve"> о передаче полномочий по осуществлению внешнего муниципального финансового контроля от 12.12.2019 года №21, согласно Решения пятьдесят пятой сессии Совета муниципального образования Славянский район Краснодарского края от 11.12.2019 №18 «О принятии контрольно-счетной палатой муниципального образования Славянский район полномочий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5761" w:rsidRPr="002904A6" w:rsidRDefault="00415761" w:rsidP="00415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08199B" w:rsidRPr="002904A6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го поселения Славянского района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0AC3" w:rsidRPr="002904A6" w:rsidRDefault="006D0AC3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Цель мероприятия:</w:t>
      </w:r>
    </w:p>
    <w:p w:rsidR="00415761" w:rsidRPr="002904A6" w:rsidRDefault="00415761" w:rsidP="00415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Экспертиза проекта решения Совета Петровского сельского поселения Славянского района «О бюджете Петровского сельского поселения Славянского района на 20</w:t>
      </w:r>
      <w:r w:rsidR="006A5945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год» по вопросам сбалансированности бюджета, обоснованности доходной и расходной частей, размерам долговых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lastRenderedPageBreak/>
        <w:t>обязательств, а также на соответствие бюджетному законодательству Российской Федерации.</w:t>
      </w: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Предмет  мероприятия:</w:t>
      </w: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 Совета  </w:t>
      </w:r>
      <w:r w:rsidR="00981218" w:rsidRPr="002904A6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Славянского района «О бюджете  </w:t>
      </w:r>
      <w:r w:rsidR="00981218" w:rsidRPr="002904A6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Славянского района на 20</w:t>
      </w:r>
      <w:r w:rsidR="006A5945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год», документы и материалы, предоставляемые  одновременно с проектом бюджета. </w:t>
      </w: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Объект мероприятия:</w:t>
      </w:r>
    </w:p>
    <w:p w:rsidR="00686E78" w:rsidRPr="002904A6" w:rsidRDefault="0098121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Петровское </w:t>
      </w:r>
      <w:r w:rsidR="00686E78"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Славянского района (далее – сельское поселение)</w:t>
      </w: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Ответственные исполнители:</w:t>
      </w:r>
    </w:p>
    <w:p w:rsidR="00415761" w:rsidRPr="002904A6" w:rsidRDefault="00F94448" w:rsidP="004157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Аудитор</w:t>
      </w:r>
      <w:r w:rsidR="00415761" w:rsidRPr="002904A6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Славянский район С.Н.Канцедайло</w:t>
      </w: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A5945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D0AC3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5761" w:rsidRPr="002904A6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</w:t>
      </w:r>
      <w:r w:rsidR="00CB1BE4" w:rsidRPr="002904A6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7F371D" w:rsidRPr="002904A6" w:rsidRDefault="007F371D" w:rsidP="007F3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Петровского сельского поселения на 2021 год составлен в соответствии с требованиями статей 169, 172 БК РФ, на основе:  </w:t>
      </w:r>
    </w:p>
    <w:p w:rsidR="007F371D" w:rsidRPr="002904A6" w:rsidRDefault="007F371D" w:rsidP="007F3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-послания Президента Российской Федерации Федеральному собранию Российской Федерации, определяющего бюджетную политику;</w:t>
      </w:r>
    </w:p>
    <w:p w:rsidR="007F371D" w:rsidRPr="002904A6" w:rsidRDefault="007F371D" w:rsidP="007F3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-прогноза социально-экономического развития 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сельского поселения Славянского района на 2021 -2023 годы;</w:t>
      </w:r>
    </w:p>
    <w:p w:rsidR="007F371D" w:rsidRPr="002904A6" w:rsidRDefault="007F371D" w:rsidP="007F37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-основных направлений бюджетной и налоговой политики 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Славянского района на 2021 год, и на плановый период 2022-2023 годов, утверждённых Постановлением администрации 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сельского поселения Славянского района от 0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.2020 № 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>258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основных направлений бюджетной и налоговой политики 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сельского поселения Славянского района на 2021»;</w:t>
      </w:r>
    </w:p>
    <w:p w:rsidR="007F371D" w:rsidRPr="002904A6" w:rsidRDefault="00E50C47" w:rsidP="00E50C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-муниципальных программ.</w:t>
      </w:r>
    </w:p>
    <w:p w:rsidR="007F371D" w:rsidRPr="002904A6" w:rsidRDefault="007F371D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F56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Организация бюджетного процесса</w:t>
      </w:r>
      <w:r w:rsidR="00C31B91" w:rsidRPr="002904A6">
        <w:rPr>
          <w:rFonts w:ascii="Times New Roman" w:eastAsia="Times New Roman" w:hAnsi="Times New Roman" w:cs="Times New Roman"/>
          <w:sz w:val="28"/>
          <w:szCs w:val="28"/>
        </w:rPr>
        <w:t xml:space="preserve"> Петровского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составлению проекта бюджета на 20</w:t>
      </w:r>
      <w:r w:rsidR="00136AD1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</w:t>
      </w:r>
      <w:r w:rsidR="00F200A9" w:rsidRPr="002904A6">
        <w:rPr>
          <w:rFonts w:ascii="Times New Roman" w:eastAsia="Times New Roman" w:hAnsi="Times New Roman" w:cs="Times New Roman"/>
          <w:sz w:val="28"/>
          <w:szCs w:val="28"/>
        </w:rPr>
        <w:t xml:space="preserve">ыми актами Краснодарского края,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Положением о </w:t>
      </w:r>
      <w:r w:rsidR="00CB1BE4" w:rsidRPr="002904A6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юджетном процессе в сельском поселении, утверждённ</w:t>
      </w:r>
      <w:r w:rsidR="00723B38" w:rsidRPr="002904A6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787F56" w:rsidRPr="002904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86E78" w:rsidRPr="002904A6" w:rsidRDefault="00787F56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6E78" w:rsidRPr="002904A6">
        <w:rPr>
          <w:rFonts w:ascii="Times New Roman" w:eastAsia="Times New Roman" w:hAnsi="Times New Roman" w:cs="Times New Roman"/>
          <w:sz w:val="28"/>
          <w:szCs w:val="28"/>
        </w:rPr>
        <w:t xml:space="preserve">решением  </w:t>
      </w:r>
      <w:r w:rsidR="00CB1BE4" w:rsidRPr="002904A6">
        <w:rPr>
          <w:rFonts w:ascii="Times New Roman" w:eastAsia="Times New Roman" w:hAnsi="Times New Roman" w:cs="Times New Roman"/>
          <w:sz w:val="28"/>
          <w:szCs w:val="28"/>
        </w:rPr>
        <w:t xml:space="preserve">тринадцатой </w:t>
      </w:r>
      <w:r w:rsidR="00981218"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сессии </w:t>
      </w:r>
      <w:r w:rsidR="00686E78" w:rsidRPr="002904A6">
        <w:rPr>
          <w:rFonts w:ascii="Times New Roman" w:eastAsia="Times New Roman" w:hAnsi="Times New Roman" w:cs="Times New Roman"/>
          <w:sz w:val="28"/>
          <w:szCs w:val="28"/>
        </w:rPr>
        <w:t xml:space="preserve">  Совета </w:t>
      </w:r>
      <w:r w:rsidR="00981218" w:rsidRPr="002904A6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686E78"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CB1BE4" w:rsidRPr="002904A6">
        <w:rPr>
          <w:rFonts w:ascii="Times New Roman" w:eastAsia="Times New Roman" w:hAnsi="Times New Roman" w:cs="Times New Roman"/>
          <w:sz w:val="28"/>
          <w:szCs w:val="28"/>
        </w:rPr>
        <w:t>0</w:t>
      </w:r>
      <w:r w:rsidR="00981218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6E78" w:rsidRPr="002904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CB1BE4" w:rsidRPr="002904A6">
        <w:rPr>
          <w:rFonts w:ascii="Times New Roman" w:eastAsia="Times New Roman" w:hAnsi="Times New Roman" w:cs="Times New Roman"/>
          <w:sz w:val="28"/>
          <w:szCs w:val="28"/>
        </w:rPr>
        <w:t>07</w:t>
      </w:r>
      <w:r w:rsidR="00686E78" w:rsidRPr="002904A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CB1BE4" w:rsidRPr="002904A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86E78" w:rsidRPr="002904A6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CB1BE4" w:rsidRPr="002904A6">
        <w:rPr>
          <w:rFonts w:ascii="Times New Roman" w:eastAsia="Times New Roman" w:hAnsi="Times New Roman" w:cs="Times New Roman"/>
          <w:sz w:val="28"/>
          <w:szCs w:val="28"/>
        </w:rPr>
        <w:t xml:space="preserve">2«Об утверждении </w:t>
      </w:r>
      <w:r w:rsidR="00CB1BE4" w:rsidRPr="002904A6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о бюджетном процессе в Петровском сельско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м поселении Славянского района»;</w:t>
      </w:r>
    </w:p>
    <w:p w:rsidR="00787F56" w:rsidRPr="002904A6" w:rsidRDefault="00787F56" w:rsidP="00787F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-решение шестьдесят третьей сессии Совета Петровского сельского поселения Славянского района от 13.07.2018 года  №3 «О внесении изменений в решение Совета Петровского сельского поселения Славянского района от            21 мая 2015 г. №3 «Об утверждении Положения о бюджетном процессе Петровского сельского поселения Славянского района».</w:t>
      </w:r>
    </w:p>
    <w:p w:rsidR="00F5193C" w:rsidRPr="002904A6" w:rsidRDefault="00573A68" w:rsidP="003450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Состав документов и материалов, предоставляемых одновременно с проектом бюджета на 2021 год, соответствует перечню документов и материалов, определённых ст.184.2 Бюджетного кодекса РФ и ст.19 Положения о бюджетном процессе.</w:t>
      </w:r>
    </w:p>
    <w:p w:rsidR="00A337EA" w:rsidRPr="002904A6" w:rsidRDefault="00A337EA" w:rsidP="00A33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Петровского сельского поселения Славянского района «О 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 xml:space="preserve">внесении в </w:t>
      </w:r>
      <w:r w:rsidR="00CD4F9B" w:rsidRPr="002904A6">
        <w:rPr>
          <w:rFonts w:ascii="Times New Roman" w:eastAsia="Times New Roman" w:hAnsi="Times New Roman" w:cs="Times New Roman"/>
          <w:sz w:val="28"/>
          <w:szCs w:val="28"/>
        </w:rPr>
        <w:t>СоветПетровского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CD4F9B" w:rsidRPr="002904A6">
        <w:rPr>
          <w:rFonts w:ascii="Times New Roman" w:eastAsia="Times New Roman" w:hAnsi="Times New Roman" w:cs="Times New Roman"/>
          <w:sz w:val="28"/>
          <w:szCs w:val="28"/>
        </w:rPr>
        <w:t>проекта бюджета Петровского сельского поселения Славянского района на 202</w:t>
      </w:r>
      <w:r w:rsidR="006D7C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D4F9B"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год»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73A68" w:rsidRPr="002904A6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.11.20</w:t>
      </w:r>
      <w:r w:rsidR="00573A68" w:rsidRPr="002904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73A68" w:rsidRPr="002904A6">
        <w:rPr>
          <w:rFonts w:ascii="Times New Roman" w:eastAsia="Times New Roman" w:hAnsi="Times New Roman" w:cs="Times New Roman"/>
          <w:sz w:val="28"/>
          <w:szCs w:val="28"/>
        </w:rPr>
        <w:t xml:space="preserve">257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проект бюджета внесен на рассмотрение в Совет </w:t>
      </w:r>
      <w:r w:rsidR="00CD4F9B" w:rsidRPr="002904A6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573A68" w:rsidRPr="002904A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A940AE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73A68" w:rsidRPr="002904A6">
        <w:rPr>
          <w:rFonts w:ascii="Times New Roman" w:eastAsia="Times New Roman" w:hAnsi="Times New Roman" w:cs="Times New Roman"/>
          <w:sz w:val="28"/>
          <w:szCs w:val="28"/>
        </w:rPr>
        <w:t xml:space="preserve"> ноября 2020 года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, что соответствует ст.184.2 БК РФ.</w:t>
      </w:r>
    </w:p>
    <w:p w:rsidR="00A337EA" w:rsidRPr="002904A6" w:rsidRDefault="00A337EA" w:rsidP="009D56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568C" w:rsidRPr="002904A6" w:rsidRDefault="009D568C" w:rsidP="009D56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п.1 ст.184.1 Бюджетного кодекса РФ, решение о бюджете содержит основные характеристики бюджета на 20</w:t>
      </w:r>
      <w:r w:rsidR="00774554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год, а именно: </w:t>
      </w:r>
    </w:p>
    <w:p w:rsidR="009D568C" w:rsidRPr="002904A6" w:rsidRDefault="009D568C" w:rsidP="009D56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-общий объём доходов бюджета-</w:t>
      </w:r>
      <w:r w:rsidR="00141171" w:rsidRPr="002904A6">
        <w:rPr>
          <w:rFonts w:ascii="Times New Roman" w:eastAsia="Times New Roman" w:hAnsi="Times New Roman" w:cs="Times New Roman"/>
          <w:sz w:val="28"/>
          <w:szCs w:val="28"/>
        </w:rPr>
        <w:t>61942,7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тыс.рублей;</w:t>
      </w:r>
    </w:p>
    <w:p w:rsidR="009D568C" w:rsidRPr="002904A6" w:rsidRDefault="009D568C" w:rsidP="009D56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-общий объём расходов бюджета-</w:t>
      </w:r>
      <w:r w:rsidR="00141171" w:rsidRPr="002904A6">
        <w:rPr>
          <w:rFonts w:ascii="Times New Roman" w:eastAsia="Times New Roman" w:hAnsi="Times New Roman" w:cs="Times New Roman"/>
          <w:sz w:val="28"/>
          <w:szCs w:val="28"/>
        </w:rPr>
        <w:t>61830,2</w:t>
      </w:r>
      <w:r w:rsidR="0093714C" w:rsidRPr="002904A6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568C" w:rsidRPr="002904A6" w:rsidRDefault="009D568C" w:rsidP="009D56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1171" w:rsidRPr="002904A6">
        <w:rPr>
          <w:rFonts w:ascii="Times New Roman" w:eastAsia="Times New Roman" w:hAnsi="Times New Roman" w:cs="Times New Roman"/>
          <w:sz w:val="28"/>
          <w:szCs w:val="28"/>
        </w:rPr>
        <w:t>профицит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бюджета-</w:t>
      </w:r>
      <w:r w:rsidR="00141171" w:rsidRPr="002904A6">
        <w:rPr>
          <w:rFonts w:ascii="Times New Roman" w:eastAsia="Times New Roman" w:hAnsi="Times New Roman" w:cs="Times New Roman"/>
          <w:sz w:val="28"/>
          <w:szCs w:val="28"/>
        </w:rPr>
        <w:t>112,5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тыс.рублей.</w:t>
      </w:r>
    </w:p>
    <w:p w:rsidR="000C3BC0" w:rsidRPr="002904A6" w:rsidRDefault="000C3BC0" w:rsidP="000C3B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Порядок составления и рассмотрения проекта бюджета, утверждения и  исполнения бюджета, осуществления контроля за его исполнением и утверждения  отчета об исполнения бюджета Петровского сельского поселения предусматривает рассмотрение и утверждении бюджета сельского поселения до начала очередного финансового года,  тем самым соблюдена статья 187 БК РФ.</w:t>
      </w:r>
    </w:p>
    <w:p w:rsidR="000C3BC0" w:rsidRPr="002904A6" w:rsidRDefault="000C3BC0" w:rsidP="000C3B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Коды бюджетной классификации в проекте бюджета на 2021 год и на плановый период 2022-2023 годов указаны в соответствии с 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>Приказом Минфина России от 8 июня 2020 г. № 98н «О внесении изменений в Приказ Министерства Финансов  Российской федерации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9D568C" w:rsidRPr="002904A6" w:rsidRDefault="009D568C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При формировании проекта бюджета соблюдены нормы Бюджетного кодекса РФ, предусмотренные статьями 92.1, 23, 111, в части определения источников ф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 xml:space="preserve">инансирования дефицита бюджета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и расходов на обслуживание муниципального долга.  Кроме того, в соответствии с требованиями п.3 ст.184.1 Бюджетного кодекса РФ, проектом решения установлены:</w:t>
      </w: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686E78" w:rsidRPr="002904A6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lastRenderedPageBreak/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686E78" w:rsidRPr="002904A6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-общий объём межбюджетных трансфертов, предоставляемы</w:t>
      </w:r>
      <w:r w:rsidR="008B0023" w:rsidRPr="002904A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8B0023" w:rsidRPr="002904A6">
        <w:rPr>
          <w:rFonts w:ascii="Times New Roman" w:eastAsia="Times New Roman" w:hAnsi="Times New Roman" w:cs="Times New Roman"/>
          <w:sz w:val="28"/>
          <w:szCs w:val="28"/>
        </w:rPr>
        <w:t>умуниципального образования Славянский район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8B0023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50C47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200A9"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141171" w:rsidRPr="002904A6">
        <w:rPr>
          <w:rFonts w:ascii="Times New Roman" w:eastAsia="Times New Roman" w:hAnsi="Times New Roman" w:cs="Times New Roman"/>
          <w:sz w:val="28"/>
          <w:szCs w:val="28"/>
        </w:rPr>
        <w:t xml:space="preserve">529,2 </w:t>
      </w:r>
      <w:r w:rsidR="009D568C" w:rsidRPr="002904A6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6D27D1" w:rsidRPr="002904A6">
        <w:rPr>
          <w:rFonts w:ascii="Times New Roman" w:eastAsia="Times New Roman" w:hAnsi="Times New Roman" w:cs="Times New Roman"/>
          <w:sz w:val="28"/>
          <w:szCs w:val="28"/>
        </w:rPr>
        <w:t xml:space="preserve"> (согласно, данным муниципального образования Славянский район объем трансфертов составляет 451,1 тыс.рублей)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6E78" w:rsidRPr="002904A6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-объём межбюджетных трансфертов, получаемых из других бюджетов бюджетной системы РФ на 20</w:t>
      </w:r>
      <w:r w:rsidR="00136AD1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73C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="008A2339" w:rsidRPr="002904A6">
        <w:rPr>
          <w:rFonts w:ascii="Times New Roman" w:eastAsia="Times New Roman" w:hAnsi="Times New Roman" w:cs="Times New Roman"/>
          <w:sz w:val="28"/>
          <w:szCs w:val="28"/>
        </w:rPr>
        <w:t>14111,3</w:t>
      </w:r>
      <w:r w:rsidR="009D568C" w:rsidRPr="002904A6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8E5259" w:rsidRPr="002904A6" w:rsidRDefault="008E5259" w:rsidP="008E525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-на исполнение публично-нормативных обязательств установлен объем расходов в сумме </w:t>
      </w:r>
      <w:r w:rsidR="00141171" w:rsidRPr="002904A6">
        <w:rPr>
          <w:rFonts w:ascii="Times New Roman" w:eastAsia="Times New Roman" w:hAnsi="Times New Roman" w:cs="Times New Roman"/>
          <w:sz w:val="28"/>
          <w:szCs w:val="28"/>
        </w:rPr>
        <w:t>400,0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тыс.рублей;</w:t>
      </w:r>
    </w:p>
    <w:p w:rsidR="00686E78" w:rsidRPr="002904A6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A940AE" w:rsidRPr="002904A6">
        <w:rPr>
          <w:rFonts w:ascii="Times New Roman" w:eastAsia="Times New Roman" w:hAnsi="Times New Roman" w:cs="Times New Roman"/>
          <w:sz w:val="28"/>
          <w:szCs w:val="28"/>
        </w:rPr>
        <w:t>5</w:t>
      </w:r>
      <w:r w:rsidR="00904C55" w:rsidRPr="002904A6">
        <w:rPr>
          <w:rFonts w:ascii="Times New Roman" w:eastAsia="Times New Roman" w:hAnsi="Times New Roman" w:cs="Times New Roman"/>
          <w:sz w:val="28"/>
          <w:szCs w:val="28"/>
        </w:rPr>
        <w:t>,0</w:t>
      </w:r>
      <w:r w:rsidR="009D568C" w:rsidRPr="002904A6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рублей (ст.81 БК РФ);</w:t>
      </w:r>
    </w:p>
    <w:p w:rsidR="00686E78" w:rsidRPr="002904A6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-верхний предел муниципального долга на 01.01.20</w:t>
      </w:r>
      <w:r w:rsidR="00CB5D05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1171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 в сумме </w:t>
      </w:r>
      <w:r w:rsidR="00141171" w:rsidRPr="002904A6">
        <w:rPr>
          <w:rFonts w:ascii="Times New Roman" w:eastAsia="Times New Roman" w:hAnsi="Times New Roman" w:cs="Times New Roman"/>
          <w:sz w:val="28"/>
          <w:szCs w:val="28"/>
        </w:rPr>
        <w:t>1440,0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тыс. рубле</w:t>
      </w:r>
      <w:r w:rsidR="009D568C" w:rsidRPr="002904A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(ст. 107 БК РФ).</w:t>
      </w:r>
    </w:p>
    <w:p w:rsidR="00686E78" w:rsidRPr="002904A6" w:rsidRDefault="00686E78" w:rsidP="00686E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-средства направленные на погашение процентов за пользование средствами (обслуживание муниципального долга) в сумме </w:t>
      </w:r>
      <w:r w:rsidR="00141171" w:rsidRPr="002904A6">
        <w:rPr>
          <w:rFonts w:ascii="Times New Roman" w:eastAsia="Times New Roman" w:hAnsi="Times New Roman" w:cs="Times New Roman"/>
          <w:sz w:val="28"/>
          <w:szCs w:val="28"/>
        </w:rPr>
        <w:t>180,0</w:t>
      </w:r>
      <w:r w:rsidR="009D568C" w:rsidRPr="002904A6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6F183F" w:rsidRPr="002904A6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8A2339" w:rsidRPr="002904A6">
        <w:rPr>
          <w:rFonts w:ascii="Times New Roman" w:eastAsia="Times New Roman" w:hAnsi="Times New Roman" w:cs="Times New Roman"/>
          <w:sz w:val="28"/>
          <w:szCs w:val="28"/>
        </w:rPr>
        <w:t xml:space="preserve"> (ст.111 БК РФ)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D9C" w:rsidRPr="002904A6" w:rsidRDefault="008A2339" w:rsidP="00197D9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Во исполнение статьи 179.4 БК РФ в составе бюджета сформирован дорожный фонд</w:t>
      </w:r>
      <w:r w:rsidR="00197D9C" w:rsidRPr="002904A6">
        <w:rPr>
          <w:rFonts w:ascii="Times New Roman" w:eastAsia="Times New Roman" w:hAnsi="Times New Roman" w:cs="Times New Roman"/>
          <w:sz w:val="28"/>
          <w:szCs w:val="28"/>
        </w:rPr>
        <w:t>Петровского сельского поселения Славянского района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,который </w:t>
      </w:r>
      <w:r w:rsidR="00197D9C" w:rsidRPr="002904A6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 в сумме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12867,4</w:t>
      </w:r>
      <w:r w:rsidR="00197D9C" w:rsidRPr="002904A6">
        <w:rPr>
          <w:rFonts w:ascii="Times New Roman" w:eastAsia="Times New Roman" w:hAnsi="Times New Roman" w:cs="Times New Roman"/>
          <w:sz w:val="28"/>
          <w:szCs w:val="28"/>
        </w:rPr>
        <w:t>тыс.рублей.</w:t>
      </w:r>
    </w:p>
    <w:p w:rsidR="000A4E80" w:rsidRPr="002904A6" w:rsidRDefault="000A4E80" w:rsidP="000A4E8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Согласно п.2 ст.15 Положения о бюджетном процессе и в соответствии со ст.174 БК РФ одновременно с проектом бюджета разработан среднесрочный финансовый план на предстоящий трехлетний период (2021-2023 годы). </w:t>
      </w:r>
    </w:p>
    <w:p w:rsidR="009D568C" w:rsidRPr="002904A6" w:rsidRDefault="000A4E80" w:rsidP="009D568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Данный план утвержден </w:t>
      </w:r>
      <w:r w:rsidR="009D568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</w:t>
      </w:r>
      <w:r w:rsidR="006C22AD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нием администрации Петровского </w:t>
      </w:r>
      <w:r w:rsidR="009D568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Славянского района от </w:t>
      </w:r>
      <w:r w:rsidR="006C22AD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E6560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.11.20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D568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278</w:t>
      </w:r>
      <w:r w:rsidR="006C22AD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9D568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ср</w:t>
      </w:r>
      <w:r w:rsidR="004E6560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еднесрочного финансового плана</w:t>
      </w:r>
      <w:r w:rsidR="009D568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Петровского сельского поселени</w:t>
      </w:r>
      <w:r w:rsidR="004E6560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9D568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4E6560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6C22AD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E6560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годы», </w:t>
      </w:r>
      <w:r w:rsidR="009D568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с основными характеристиками:</w:t>
      </w:r>
    </w:p>
    <w:p w:rsidR="00197D9C" w:rsidRPr="002904A6" w:rsidRDefault="00197D9C" w:rsidP="009D56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3258"/>
        <w:gridCol w:w="1832"/>
        <w:gridCol w:w="2087"/>
        <w:gridCol w:w="1882"/>
      </w:tblGrid>
      <w:tr w:rsidR="009E587F" w:rsidRPr="002904A6" w:rsidTr="00B60F14">
        <w:trPr>
          <w:trHeight w:val="25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9D568C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D568C" w:rsidRPr="002904A6" w:rsidRDefault="009D568C" w:rsidP="008E52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№п/п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9D568C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  <w:p w:rsidR="009D568C" w:rsidRPr="002904A6" w:rsidRDefault="009D568C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E50C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Очередной финансовый план 20</w:t>
            </w:r>
            <w:r w:rsidR="006C22AD" w:rsidRPr="002904A6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E50C47" w:rsidRPr="002904A6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2904A6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Плановый период</w:t>
            </w:r>
          </w:p>
        </w:tc>
      </w:tr>
      <w:tr w:rsidR="009E587F" w:rsidRPr="002904A6" w:rsidTr="00B60F14">
        <w:trPr>
          <w:trHeight w:val="589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C" w:rsidRPr="002904A6" w:rsidRDefault="009D568C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C" w:rsidRPr="002904A6" w:rsidRDefault="009D568C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8C" w:rsidRPr="002904A6" w:rsidRDefault="009D568C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E50C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CB5D05" w:rsidRPr="002904A6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E50C47" w:rsidRPr="002904A6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2904A6">
              <w:rPr>
                <w:rFonts w:ascii="Times New Roman" w:eastAsia="Calibri" w:hAnsi="Times New Roman" w:cs="Times New Roman"/>
                <w:lang w:eastAsia="en-US"/>
              </w:rPr>
              <w:t>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E50C4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CB5D05" w:rsidRPr="002904A6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E50C47" w:rsidRPr="002904A6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2904A6">
              <w:rPr>
                <w:rFonts w:ascii="Times New Roman" w:eastAsia="Calibri" w:hAnsi="Times New Roman" w:cs="Times New Roman"/>
                <w:lang w:eastAsia="en-US"/>
              </w:rPr>
              <w:t xml:space="preserve"> год</w:t>
            </w:r>
          </w:p>
        </w:tc>
      </w:tr>
      <w:tr w:rsidR="009E587F" w:rsidRPr="002904A6" w:rsidTr="00B60F14">
        <w:trPr>
          <w:trHeight w:val="27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8E52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Доходы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0A4E80" w:rsidP="00F739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61942,7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0A4E80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61942,7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0A4E80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61942,7</w:t>
            </w:r>
          </w:p>
        </w:tc>
      </w:tr>
      <w:tr w:rsidR="009E587F" w:rsidRPr="002904A6" w:rsidTr="00B60F14">
        <w:trPr>
          <w:trHeight w:val="33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8E52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Расходы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0A4E80" w:rsidP="00F7390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61830</w:t>
            </w:r>
            <w:r w:rsidR="00DC4762" w:rsidRPr="002904A6">
              <w:rPr>
                <w:rFonts w:ascii="Times New Roman" w:eastAsia="Calibri" w:hAnsi="Times New Roman" w:cs="Times New Roman"/>
                <w:lang w:eastAsia="en-US"/>
              </w:rPr>
              <w:t>,2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DC4762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61942,7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DC4762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61942,7</w:t>
            </w:r>
          </w:p>
        </w:tc>
      </w:tr>
      <w:tr w:rsidR="009E587F" w:rsidRPr="002904A6" w:rsidTr="00B60F14">
        <w:trPr>
          <w:trHeight w:val="47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9D568C" w:rsidP="008E52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4E65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Дефицит(-), профицит(+)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DC4762" w:rsidP="00B60F1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 xml:space="preserve">  -112,5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DC4762" w:rsidP="00F739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DC4762" w:rsidP="00F739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9E587F" w:rsidRPr="002904A6" w:rsidTr="00B60F14">
        <w:trPr>
          <w:trHeight w:val="36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8E525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8C" w:rsidRPr="002904A6" w:rsidRDefault="009D568C" w:rsidP="004E656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ED3" w:rsidRPr="002904A6" w:rsidRDefault="00DC4762" w:rsidP="00DC476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 xml:space="preserve"> 1440,0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DC4762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1440,0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8C" w:rsidRPr="002904A6" w:rsidRDefault="00DC4762" w:rsidP="009D568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904A6">
              <w:rPr>
                <w:rFonts w:ascii="Times New Roman" w:eastAsia="Calibri" w:hAnsi="Times New Roman" w:cs="Times New Roman"/>
                <w:lang w:eastAsia="en-US"/>
              </w:rPr>
              <w:t>1440,0</w:t>
            </w:r>
          </w:p>
        </w:tc>
      </w:tr>
    </w:tbl>
    <w:p w:rsidR="009D568C" w:rsidRPr="002904A6" w:rsidRDefault="009D568C" w:rsidP="009D56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568C" w:rsidRPr="002904A6" w:rsidRDefault="00CB5D05" w:rsidP="009D56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Средне</w:t>
      </w:r>
      <w:r w:rsidR="009D568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срочный финансовый план  утвержден в соответствии со ст.174 Бюджетного кодекса РФ, в целях:</w:t>
      </w:r>
    </w:p>
    <w:p w:rsidR="009D568C" w:rsidRPr="002904A6" w:rsidRDefault="009D568C" w:rsidP="009D56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9D568C" w:rsidRPr="002904A6" w:rsidRDefault="009D568C" w:rsidP="009D56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-комплексного прогнозирования финансовых последствий разрабатываемых реформ, программ;</w:t>
      </w:r>
    </w:p>
    <w:p w:rsidR="009D568C" w:rsidRPr="002904A6" w:rsidRDefault="009D568C" w:rsidP="009D56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целью их минимизации;</w:t>
      </w:r>
    </w:p>
    <w:p w:rsidR="009D568C" w:rsidRPr="002904A6" w:rsidRDefault="00573A68" w:rsidP="009D56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-не допускать </w:t>
      </w:r>
      <w:r w:rsidR="009D568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дисбаланса между темпами роста доходов и расходов,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применяя механизм ограничения </w:t>
      </w:r>
      <w:r w:rsidR="009D568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роста расходов, не обеспеченных доходными ресурсами.</w:t>
      </w:r>
    </w:p>
    <w:p w:rsidR="00573A68" w:rsidRPr="002904A6" w:rsidRDefault="00573A68" w:rsidP="00573A68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Среднесрочный финансовый план сельским поселением сформирован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основе среднесрочного прогноза социально-экономического развития Петровского сельского поселения. В пояснительной записке к среднесрочному финансовому плану сельского поселения приведено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DC4762" w:rsidRPr="002904A6" w:rsidRDefault="00DC4762" w:rsidP="006D27D1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D27D1" w:rsidRPr="002904A6" w:rsidRDefault="006D27D1" w:rsidP="00DC4762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ст.36 БК РФ и ст.18,19 Положения о бюджетном процессе и на основании Постановления администрации </w:t>
      </w:r>
      <w:r w:rsidR="00DC476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</w:t>
      </w:r>
      <w:r w:rsidR="00DC476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поселения Славянского района 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C476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DC476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.2020 №</w:t>
      </w:r>
      <w:r w:rsidR="00DC476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257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</w:t>
      </w:r>
      <w:r w:rsidR="00DC476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обн</w:t>
      </w:r>
      <w:r w:rsidR="004D0F9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C476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родовании проекта бюджета Петровского сельского поселения Славянского района на 2021 год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C476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отчета о выполнении индикативного плана социально-экономического развития за 2019 год</w:t>
      </w:r>
      <w:r w:rsidR="00573A68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индикативного плана социально-экономического развития на 2021 год,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назначении даты проведения публичных слушаний, создании оргкомитета по проведению публичных слушаний»  проект решения Совета </w:t>
      </w:r>
      <w:r w:rsidR="00DC476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Славянского района обнародован. Публичные слушания проведены </w:t>
      </w:r>
      <w:r w:rsidR="00DC476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06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2020 года.</w:t>
      </w:r>
    </w:p>
    <w:p w:rsidR="00573A68" w:rsidRPr="002904A6" w:rsidRDefault="00573A68" w:rsidP="00DC4762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3A68" w:rsidRPr="002904A6" w:rsidRDefault="00573A68" w:rsidP="00573A68">
      <w:pPr>
        <w:tabs>
          <w:tab w:val="left" w:pos="10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Параметры прогноза основных показателей</w:t>
      </w:r>
    </w:p>
    <w:p w:rsidR="00573A68" w:rsidRPr="002904A6" w:rsidRDefault="00573A68" w:rsidP="00573A68">
      <w:pPr>
        <w:tabs>
          <w:tab w:val="left" w:pos="10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социально–экономического развития</w:t>
      </w:r>
    </w:p>
    <w:p w:rsidR="00573A68" w:rsidRPr="002904A6" w:rsidRDefault="00573A68" w:rsidP="00573A68">
      <w:pPr>
        <w:tabs>
          <w:tab w:val="left" w:pos="101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73A68" w:rsidRPr="002904A6" w:rsidRDefault="00573A68" w:rsidP="00573A68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статьей 169 БК РФ бюджет составлен на основе прогноза социально-экономического развития, разработанного на трехлетний период.</w:t>
      </w:r>
    </w:p>
    <w:p w:rsidR="00573A68" w:rsidRPr="002904A6" w:rsidRDefault="00573A68" w:rsidP="00573A68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 социально-экономического развития на 2021 год и плановый период 2022-2023 годов разработан на основе анализа тенденций развития отраслей экономики и социальной сферы района, основных параметров прогноза социально- экономического развития РФ, сценарных условий социально-экономического развития экономики Российской Федерации в целом,  анализа фактически складывающей ситуации в текущем году, прогнозных данных о хозяйствующих субъектов, осуществляющих деятельность на территории Петровского сельского поселения.</w:t>
      </w:r>
    </w:p>
    <w:p w:rsidR="00573A68" w:rsidRPr="002904A6" w:rsidRDefault="00573A68" w:rsidP="00573A68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п.3 ст. 173 БК РФ прогноз одобрен Постановлением администрации Петровского сельского поселения Славянского района от 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12.11.2020 №279 «О прогнозе социально-экономического развития Петровского сельского поселения Славянского района на 2021 год и плановый период 2022-2023 годов» и 1</w:t>
      </w:r>
      <w:r w:rsidR="00A940AE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2020 года с проектом решения о бюджете внесен в Совет Петровского сельского поселения.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Петровского сельского поселения Славянского района расположено два населенных пункта: ст-ца Петровская и хут.Водный. Общая численность населения, включая временно отсутствующих по состоянию на 1 января 2020 года составила 14150 человек.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Основой экономики поселения являются сельское хозяйство, торговля, сфера услуг.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Дальнейшее увеличение объемов производства связано с ростом спроса на производимую продукцию. Усилия предприятий будут направлены на сохранение достигнутых результатов производства, сохранение численности персонала.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Также производством сельскохозяйственных культур на территории поселения занимаются крестьянские (фермерские) хозяйства, индивидуальные предприниматели, личные подсобные хозяйства.</w:t>
      </w:r>
    </w:p>
    <w:p w:rsidR="00573A68" w:rsidRPr="002904A6" w:rsidRDefault="00573A68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 часть общеэкономического оборота принадлежит потребительскому рынку как составной части экономики поселения, отражающей динамику товарно-денежных отношений населения на рынке товаров и услуг.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направления  в сфере потребительского рынка: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качества  обслуживания  населения  сельского поселения;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расширение  ассортимента предлагаемых промышленных  товаров;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доступности основных видов услуг для жителей сельских населенных пунктов;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сектора услуг, пользующегося спросом населения.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Обороты розничной торговли увеличиваются как за счет роста цен на продовольственные и промышленные товары, так и за счет расширения ассортимента товаров.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В прогнозируемом периоде предполагается продолжать следующие работы по обеспечению комфортности проживания в населенных пунктах: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-мероприятия по организации благоустройства территории поселения;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-мероприятия по организации освещения улиц;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-мероприятия по организации ритуальных услуг и содержание мест захоронения;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 мероприятия в области коммунального хозяйства;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-мероприятия по созданию условий для массового отдыха жителей поселения и организация благоустройства мест массового отдыха населения;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-мероприятия, направленные на развитие физической культуры и массового спорта;</w:t>
      </w:r>
    </w:p>
    <w:p w:rsidR="00312A8D" w:rsidRPr="002904A6" w:rsidRDefault="00312A8D" w:rsidP="00312A8D">
      <w:pPr>
        <w:tabs>
          <w:tab w:val="left" w:pos="10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-мероприятия, направленные на развития культуры.</w:t>
      </w:r>
    </w:p>
    <w:p w:rsidR="00312A8D" w:rsidRPr="002904A6" w:rsidRDefault="00686E78" w:rsidP="00686E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Общая характеристика доходов бюджета </w:t>
      </w:r>
    </w:p>
    <w:p w:rsidR="00686E78" w:rsidRPr="002904A6" w:rsidRDefault="00312A8D" w:rsidP="00686E7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Петровского сельского </w:t>
      </w:r>
      <w:r w:rsidR="00686E78" w:rsidRPr="002904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поселения</w:t>
      </w:r>
    </w:p>
    <w:p w:rsidR="00CB5D05" w:rsidRPr="002904A6" w:rsidRDefault="00CB5D05" w:rsidP="008E5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2A8D" w:rsidRPr="002904A6" w:rsidRDefault="00312A8D" w:rsidP="00312A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Доходная часть бюджета сельского поселения сформирована и исполнена в соответствии с требованиями статей 9,41,42,46,47,61.</w:t>
      </w:r>
      <w:r w:rsidR="00BB21CF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bookmarkStart w:id="0" w:name="_GoBack"/>
      <w:bookmarkEnd w:id="0"/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,62,64,135,138-140,154 БК РФ.  </w:t>
      </w:r>
    </w:p>
    <w:p w:rsidR="00312A8D" w:rsidRPr="002904A6" w:rsidRDefault="00312A8D" w:rsidP="00312A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В основу расчетов по формированию доходной части бюджета на 2021 год положены прогнозные данные по социально-экономическому развитию поселения на среднесрочную перспективу в отраслевом разрезе, параметры прогноза и анализ поступлений в разрезе доходных источников за предшествующий год, с корректировкой на суммы разовых платежей и изменений налоговой базы, индексы роста цен, заработной платы, показатели собираемости налогов в динамике за предшествующий год, ряд других параметров, влияющих на изменение налогооблагаемой базы.</w:t>
      </w:r>
    </w:p>
    <w:p w:rsidR="00312A8D" w:rsidRPr="002904A6" w:rsidRDefault="00312A8D" w:rsidP="00312A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доходной базы бюджета сельского поселения на 2021 год осуществлялось исходя из норм действующего бюджетного и налогового законодательства с учётом изменений и дополнений, внесённых в законодательство Российской Федерации о налогах и сборах.</w:t>
      </w:r>
    </w:p>
    <w:p w:rsidR="00312A8D" w:rsidRPr="002904A6" w:rsidRDefault="00312A8D" w:rsidP="00312A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Общая сумма доходов на 2021 год прогнозируется в сумме </w:t>
      </w:r>
      <w:r w:rsidR="00F77525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61942,7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тыс.рублей, в том числе:</w:t>
      </w:r>
    </w:p>
    <w:p w:rsidR="00312A8D" w:rsidRPr="002904A6" w:rsidRDefault="00312A8D" w:rsidP="00312A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-собственные доходы составляют </w:t>
      </w:r>
      <w:r w:rsidR="00F77525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47831,4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тыс.рублей, в том числе налоговые доходы в сумме </w:t>
      </w:r>
      <w:r w:rsidR="00F77525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46371,4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тыс.рублей и неналоговые доходы в сумме </w:t>
      </w:r>
      <w:r w:rsidR="00F77525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1460,0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тыс.рублей ;</w:t>
      </w:r>
    </w:p>
    <w:p w:rsidR="00312A8D" w:rsidRPr="002904A6" w:rsidRDefault="00312A8D" w:rsidP="00312A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-безвозмездные поступления в сумме </w:t>
      </w:r>
      <w:r w:rsidR="00F77525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14111,3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тыс.рублей.</w:t>
      </w:r>
    </w:p>
    <w:p w:rsidR="008E5259" w:rsidRPr="002904A6" w:rsidRDefault="008E5259" w:rsidP="008E5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259" w:rsidRPr="002904A6" w:rsidRDefault="008E5259" w:rsidP="008E52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доходов бюджета сельского п</w:t>
      </w:r>
      <w:r w:rsidR="00AC08E7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оселения, запланированных на 202</w:t>
      </w:r>
      <w:r w:rsidR="00F77525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год, отражена 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на рисунке № 1.</w:t>
      </w:r>
    </w:p>
    <w:p w:rsidR="008E5259" w:rsidRPr="002904A6" w:rsidRDefault="00F5193C" w:rsidP="00F5193C">
      <w:pPr>
        <w:tabs>
          <w:tab w:val="left" w:pos="849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Рис.1</w:t>
      </w:r>
    </w:p>
    <w:p w:rsidR="008E5259" w:rsidRPr="002904A6" w:rsidRDefault="00A2499C" w:rsidP="00686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254752" cy="2438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5259" w:rsidRPr="002904A6" w:rsidRDefault="008E5259" w:rsidP="00686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9C1" w:rsidRPr="002904A6" w:rsidRDefault="00B479C1" w:rsidP="00B47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Значительную часть от общего объёма доходов бюджета на 20</w:t>
      </w:r>
      <w:r w:rsidR="00AE1C60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составляют налоговые доходы в сумме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46371,4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тыс.рублей или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74,9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что выше 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ожидаемого поступления в 20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на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1590,7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тыс.рублей или на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3,6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% и выше фактического исполнения за 201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на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3238,3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тыс.рублей или на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7,5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%. </w:t>
      </w:r>
    </w:p>
    <w:p w:rsidR="004B7C40" w:rsidRPr="002904A6" w:rsidRDefault="004B7C40" w:rsidP="004B7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Налоговыми источниками, формирующими основную долю налоговых доходов бюджета, являются: </w:t>
      </w:r>
    </w:p>
    <w:p w:rsidR="004B7C40" w:rsidRPr="002904A6" w:rsidRDefault="004B7C40" w:rsidP="004B7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-налог на доходы физических лиц в сумме 13836,0 тыс.рублей, который составляет в структуре доходов бюджета </w:t>
      </w:r>
      <w:r w:rsidRPr="002904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22,3%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B7C40" w:rsidRPr="002904A6" w:rsidRDefault="004B7C40" w:rsidP="004B7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-поступления по доходам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определены исходя из общей суммы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в сумме 12867,4 тыс.рублей или </w:t>
      </w:r>
      <w:r w:rsidRPr="002904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20,8%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структуре доходов бюджета;</w:t>
      </w:r>
    </w:p>
    <w:p w:rsidR="004B7C40" w:rsidRPr="002904A6" w:rsidRDefault="004B7C40" w:rsidP="004B7C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-земельный налог в сумме 11323,0 тыс.рублей или </w:t>
      </w:r>
      <w:r w:rsidRPr="002904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18,1%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структуре доходов бюджета.</w:t>
      </w:r>
    </w:p>
    <w:p w:rsidR="004B7C40" w:rsidRPr="002904A6" w:rsidRDefault="004B7C40" w:rsidP="00B47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9C1" w:rsidRPr="002904A6" w:rsidRDefault="00B479C1" w:rsidP="00B47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Неналоговые доходы запланированы в сумме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1460,0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тыс.рублей или </w:t>
      </w:r>
      <w:r w:rsidR="00953ED3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,3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от общей суммы поступлений, что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выше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ожидаемого поступления за 20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на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304,0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тыс.рублей или на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26,3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% и ниже фактического поступления за 201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на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276,5</w:t>
      </w:r>
      <w:r w:rsidR="00F55D72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тыс.рублей</w:t>
      </w:r>
      <w:r w:rsidR="00953ED3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на </w:t>
      </w:r>
      <w:r w:rsidR="00ED512C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15,9</w:t>
      </w:r>
      <w:r w:rsidR="00953ED3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%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86E78" w:rsidRPr="002904A6" w:rsidRDefault="008E5259" w:rsidP="00686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Динамика</w:t>
      </w:r>
      <w:r w:rsidR="00686E78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планируемых доходов бюджета 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сельского поселенияза 201</w:t>
      </w:r>
      <w:r w:rsidR="006C1A5F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71620B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C1A5F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86E78"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 </w:t>
      </w:r>
      <w:r w:rsidRPr="002904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представлена в Таблице №1. </w:t>
      </w:r>
    </w:p>
    <w:p w:rsidR="00660F7D" w:rsidRPr="002904A6" w:rsidRDefault="00660F7D" w:rsidP="008E5259">
      <w:pPr>
        <w:tabs>
          <w:tab w:val="left" w:pos="82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259" w:rsidRPr="002904A6" w:rsidRDefault="008E5259" w:rsidP="008E5259">
      <w:pPr>
        <w:tabs>
          <w:tab w:val="left" w:pos="820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Таблица № 1</w:t>
      </w:r>
    </w:p>
    <w:p w:rsidR="008E5259" w:rsidRPr="002904A6" w:rsidRDefault="00686E78" w:rsidP="008E52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Динамика доходов бюджета </w:t>
      </w:r>
      <w:r w:rsidR="00450789" w:rsidRPr="002904A6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8E5259" w:rsidRPr="002904A6" w:rsidRDefault="00686E78" w:rsidP="008E52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r w:rsidR="008E5259" w:rsidRPr="002904A6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период 201</w:t>
      </w:r>
      <w:r w:rsidR="006C1A5F" w:rsidRPr="002904A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E5259" w:rsidRPr="002904A6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71620B" w:rsidRPr="002904A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C1A5F" w:rsidRPr="002904A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E5259" w:rsidRPr="002904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F55D72" w:rsidRPr="002904A6" w:rsidRDefault="00F55D72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1949"/>
        <w:gridCol w:w="1417"/>
        <w:gridCol w:w="1276"/>
        <w:gridCol w:w="1170"/>
        <w:gridCol w:w="992"/>
        <w:gridCol w:w="992"/>
        <w:gridCol w:w="1134"/>
        <w:gridCol w:w="710"/>
        <w:gridCol w:w="992"/>
      </w:tblGrid>
      <w:tr w:rsidR="006C1A5F" w:rsidRPr="002904A6" w:rsidTr="00ED512C">
        <w:trPr>
          <w:trHeight w:val="78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за 2019 год, тыс.руб.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ожидаемое исполнение 2020г., тыс.руб.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2021 год, тыс. руб.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плана к 2019 году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5F" w:rsidRPr="002904A6" w:rsidRDefault="006C1A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к ожид. Испол.  2020года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A5F" w:rsidRPr="002904A6" w:rsidRDefault="006C1A5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плана 2021г</w:t>
            </w:r>
          </w:p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объема доходов</w:t>
            </w:r>
          </w:p>
        </w:tc>
      </w:tr>
      <w:tr w:rsidR="006C1A5F" w:rsidRPr="002904A6" w:rsidTr="00ED512C">
        <w:trPr>
          <w:trHeight w:val="967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тыс. руб.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44 869,6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45 936,7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47 831,4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1 894,7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77,2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43 133,1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44 780,7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46 371,4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1 590,7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74,9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11 257,3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12 463,0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13 836,0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2 578,7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22,3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ЕСХН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3 808,2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3 400,0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3 503,0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-305,2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5 202,7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4 160,0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4 933,0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-269,7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12 467,6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13 860,7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12 867,4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-993,3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10 397,3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10 897,0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11 232,0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834,7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1 156,0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2,3</w:t>
            </w:r>
          </w:p>
        </w:tc>
      </w:tr>
      <w:tr w:rsidR="006C1A5F" w:rsidRPr="002904A6" w:rsidTr="00ED512C">
        <w:trPr>
          <w:trHeight w:val="147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от сдачи в аренду имущества, находящегося в оперативном управлении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574,4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6C1A5F" w:rsidRPr="002904A6" w:rsidTr="00ED512C">
        <w:trPr>
          <w:trHeight w:val="94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6C1A5F" w:rsidRPr="002904A6" w:rsidTr="00ED512C">
        <w:trPr>
          <w:trHeight w:val="85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0,0 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0,0 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55 939,8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36 333,7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14 111,3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-41 828,5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-22 222,4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22,8</w:t>
            </w:r>
          </w:p>
        </w:tc>
      </w:tr>
      <w:tr w:rsidR="006C1A5F" w:rsidRPr="002904A6" w:rsidTr="00ED512C">
        <w:trPr>
          <w:trHeight w:val="30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A5F" w:rsidRPr="002904A6" w:rsidRDefault="006C1A5F" w:rsidP="006C1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100 809,4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82 270,4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61 942,7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-38 866,7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-20 327,7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A5F" w:rsidRPr="002904A6" w:rsidRDefault="006C1A5F" w:rsidP="006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6C1A5F" w:rsidRPr="002904A6" w:rsidRDefault="006C1A5F" w:rsidP="00002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4B7C40" w:rsidRPr="002904A6" w:rsidRDefault="004B7C40" w:rsidP="004B7C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На основании оценки структуры и динамики налоговых и неналоговых доходов следует подчеркнуть, что обеспечение прогнозируемых параметров бюджета Петровского сельского поселения на 2021 год по сравнению с ожидаемыми показателями 2020 года планируется с увеличением налоговой нагрузки на экономику поселения на 4,1 %, а по сравнению с отчетными показателями 2019 года доля налоговых и неналоговых доходов в общем объеме доходов бюджета увеличилась на 6,6%.</w:t>
      </w:r>
    </w:p>
    <w:p w:rsidR="004B7C40" w:rsidRPr="002904A6" w:rsidRDefault="004B7C40" w:rsidP="00002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5D72" w:rsidRPr="002904A6" w:rsidRDefault="00F55D72" w:rsidP="000024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D512C" w:rsidRPr="002904A6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году бюджетом сельского поселения предусмотрено получение </w:t>
      </w:r>
      <w:r w:rsidR="00953ED3" w:rsidRPr="002904A6"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ED512C" w:rsidRPr="002904A6">
        <w:rPr>
          <w:rFonts w:ascii="Times New Roman" w:eastAsia="Times New Roman" w:hAnsi="Times New Roman" w:cs="Times New Roman"/>
          <w:sz w:val="28"/>
          <w:szCs w:val="28"/>
        </w:rPr>
        <w:t>14111,3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 или </w:t>
      </w:r>
      <w:r w:rsidR="00ED512C" w:rsidRPr="002904A6">
        <w:rPr>
          <w:rFonts w:ascii="Times New Roman" w:eastAsia="Times New Roman" w:hAnsi="Times New Roman" w:cs="Times New Roman"/>
          <w:sz w:val="28"/>
          <w:szCs w:val="28"/>
        </w:rPr>
        <w:t>22,8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% от общего объёма доходов бюджета, что ниже ожидаемого поступления за 20</w:t>
      </w:r>
      <w:r w:rsidR="00ED512C" w:rsidRPr="002904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 на </w:t>
      </w:r>
      <w:r w:rsidR="00ED512C" w:rsidRPr="002904A6">
        <w:rPr>
          <w:rFonts w:ascii="Times New Roman" w:eastAsia="Times New Roman" w:hAnsi="Times New Roman" w:cs="Times New Roman"/>
          <w:sz w:val="28"/>
          <w:szCs w:val="28"/>
        </w:rPr>
        <w:t>22222,4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 или на </w:t>
      </w:r>
      <w:r w:rsidR="00ED512C" w:rsidRPr="002904A6">
        <w:rPr>
          <w:rFonts w:ascii="Times New Roman" w:eastAsia="Times New Roman" w:hAnsi="Times New Roman" w:cs="Times New Roman"/>
          <w:sz w:val="28"/>
          <w:szCs w:val="28"/>
        </w:rPr>
        <w:t>61,2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% и ниже фактического поступления за 201</w:t>
      </w:r>
      <w:r w:rsidR="00ED512C" w:rsidRPr="002904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 на </w:t>
      </w:r>
      <w:r w:rsidR="00ED512C" w:rsidRPr="002904A6">
        <w:rPr>
          <w:rFonts w:ascii="Times New Roman" w:eastAsia="Times New Roman" w:hAnsi="Times New Roman" w:cs="Times New Roman"/>
          <w:sz w:val="28"/>
          <w:szCs w:val="28"/>
        </w:rPr>
        <w:t>41828,5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 или на </w:t>
      </w:r>
      <w:r w:rsidR="00ED512C" w:rsidRPr="002904A6">
        <w:rPr>
          <w:rFonts w:ascii="Times New Roman" w:eastAsia="Times New Roman" w:hAnsi="Times New Roman" w:cs="Times New Roman"/>
          <w:sz w:val="28"/>
          <w:szCs w:val="28"/>
        </w:rPr>
        <w:t>74,8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02481" w:rsidRPr="002904A6" w:rsidRDefault="00002481" w:rsidP="00F55D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5D72" w:rsidRDefault="00F55D72" w:rsidP="00F55D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Динамика безвозмездных поступлений в бюджет П</w:t>
      </w:r>
      <w:r w:rsidR="00002481" w:rsidRPr="002904A6">
        <w:rPr>
          <w:rFonts w:ascii="Times New Roman" w:eastAsia="Times New Roman" w:hAnsi="Times New Roman" w:cs="Times New Roman"/>
          <w:sz w:val="28"/>
          <w:szCs w:val="28"/>
        </w:rPr>
        <w:t>етровск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ого сельского поселения Славянского района за период 201</w:t>
      </w:r>
      <w:r w:rsidR="00CF5338" w:rsidRPr="002904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6A5945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5338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годов представлена в Таблице №2.</w:t>
      </w:r>
    </w:p>
    <w:p w:rsidR="007873C4" w:rsidRDefault="007873C4" w:rsidP="00F55D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3C4" w:rsidRPr="002904A6" w:rsidRDefault="007873C4" w:rsidP="00F55D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338" w:rsidRPr="002904A6" w:rsidRDefault="00CF5338" w:rsidP="00F55D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885" w:type="dxa"/>
        <w:tblLook w:val="04A0"/>
      </w:tblPr>
      <w:tblGrid>
        <w:gridCol w:w="1899"/>
        <w:gridCol w:w="1134"/>
        <w:gridCol w:w="1560"/>
        <w:gridCol w:w="1275"/>
        <w:gridCol w:w="1134"/>
        <w:gridCol w:w="1276"/>
        <w:gridCol w:w="795"/>
        <w:gridCol w:w="1108"/>
        <w:gridCol w:w="735"/>
      </w:tblGrid>
      <w:tr w:rsidR="00CF5338" w:rsidRPr="002904A6" w:rsidTr="00CF5338">
        <w:trPr>
          <w:trHeight w:val="1095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за 2019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2020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исполнения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2021 год, т. р.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плана 2021 г. к ожидаемому исполн.2020г.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плана 2021г. к исполнению 2019г.</w:t>
            </w:r>
          </w:p>
        </w:tc>
      </w:tr>
      <w:tr w:rsidR="00CF5338" w:rsidRPr="002904A6" w:rsidTr="00CF5338">
        <w:trPr>
          <w:trHeight w:val="975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Ожидаемое исполнение , т. р.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т. р.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т. р.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F5338" w:rsidRPr="002904A6" w:rsidTr="00CF5338">
        <w:trPr>
          <w:trHeight w:val="31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16560,3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14848,1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13056,7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-1791,4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-3503,6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78,8</w:t>
            </w:r>
          </w:p>
        </w:tc>
      </w:tr>
      <w:tr w:rsidR="00CF5338" w:rsidRPr="002904A6" w:rsidTr="00CF5338">
        <w:trPr>
          <w:trHeight w:val="31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35 415,2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19 609,4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-19609,4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-35415,2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338" w:rsidRPr="002904A6" w:rsidTr="00CF5338">
        <w:trPr>
          <w:trHeight w:val="31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672,9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736,9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654,6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-82,3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-18,3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CF5338" w:rsidRPr="002904A6" w:rsidTr="00CF5338">
        <w:trPr>
          <w:trHeight w:val="34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2 826,1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739,3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-739,3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-2826,1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F5338" w:rsidRPr="002904A6" w:rsidTr="00CF5338">
        <w:trPr>
          <w:trHeight w:val="630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465,3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-65,3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CF5338" w:rsidRPr="002904A6" w:rsidTr="00CF5338">
        <w:trPr>
          <w:trHeight w:val="315"/>
        </w:trPr>
        <w:tc>
          <w:tcPr>
            <w:tcW w:w="1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55 939,8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36 333,7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14 111,3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-22222,4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-41828,5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338" w:rsidRPr="002904A6" w:rsidRDefault="00CF5338" w:rsidP="00CF5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</w:tbl>
    <w:p w:rsidR="00953ED3" w:rsidRPr="002904A6" w:rsidRDefault="00953ED3" w:rsidP="006C51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4B7C40" w:rsidRPr="002904A6" w:rsidRDefault="004B7C40" w:rsidP="004B7C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</w:t>
      </w:r>
      <w:r w:rsidR="00F05F52" w:rsidRPr="002904A6">
        <w:rPr>
          <w:rFonts w:ascii="Times New Roman" w:eastAsia="Times New Roman" w:hAnsi="Times New Roman" w:cs="Times New Roman"/>
          <w:sz w:val="28"/>
          <w:szCs w:val="28"/>
        </w:rPr>
        <w:t xml:space="preserve"> в сумме 14111,3 тыс.рублей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представлены в виде:</w:t>
      </w:r>
    </w:p>
    <w:p w:rsidR="004B7C40" w:rsidRPr="002904A6" w:rsidRDefault="004B7C40" w:rsidP="004B7C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-субвенций, в том числе:</w:t>
      </w:r>
    </w:p>
    <w:p w:rsidR="004B7C40" w:rsidRPr="002904A6" w:rsidRDefault="004B7C40" w:rsidP="004B7C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-субвенции на осуществление полномочий по первичному учету на территориях, где отсутствуют военные комиссариаты в сумме 647,0                   тыс. рублей;</w:t>
      </w:r>
    </w:p>
    <w:p w:rsidR="004B7C40" w:rsidRPr="002904A6" w:rsidRDefault="004B7C40" w:rsidP="004B7C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-субвенции на выполнение передаваемых полномочий в сумме 7,6 тыс.рублей.</w:t>
      </w:r>
    </w:p>
    <w:p w:rsidR="004B7C40" w:rsidRPr="002904A6" w:rsidRDefault="004B7C40" w:rsidP="00F05F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-Прочие безвозмездные поступления запланированы в сумме 400,0 тыс.рублей.</w:t>
      </w:r>
    </w:p>
    <w:p w:rsidR="004B7C40" w:rsidRPr="002904A6" w:rsidRDefault="004B7C40" w:rsidP="004B7C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-Дотации на выравнивание бюджетной обеспеченности в сумме </w:t>
      </w:r>
      <w:r w:rsidR="00F05F52" w:rsidRPr="002904A6">
        <w:rPr>
          <w:rFonts w:ascii="Times New Roman" w:eastAsia="Times New Roman" w:hAnsi="Times New Roman" w:cs="Times New Roman"/>
          <w:sz w:val="28"/>
          <w:szCs w:val="28"/>
        </w:rPr>
        <w:t xml:space="preserve">13056,7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тыс.рублей.                                                                                                </w:t>
      </w:r>
    </w:p>
    <w:p w:rsidR="00F05F52" w:rsidRPr="002904A6" w:rsidRDefault="00F05F52" w:rsidP="006C51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1DD" w:rsidRPr="002904A6" w:rsidRDefault="006C51DD" w:rsidP="006C51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В безвозмездные поступления не включены </w:t>
      </w:r>
      <w:r w:rsidR="002D4678" w:rsidRPr="002904A6">
        <w:rPr>
          <w:rFonts w:ascii="Times New Roman" w:eastAsia="Times New Roman" w:hAnsi="Times New Roman" w:cs="Times New Roman"/>
          <w:sz w:val="28"/>
          <w:szCs w:val="28"/>
        </w:rPr>
        <w:t>суб</w:t>
      </w:r>
      <w:r w:rsidR="00F32869" w:rsidRPr="002904A6">
        <w:rPr>
          <w:rFonts w:ascii="Times New Roman" w:eastAsia="Times New Roman" w:hAnsi="Times New Roman" w:cs="Times New Roman"/>
          <w:sz w:val="28"/>
          <w:szCs w:val="28"/>
        </w:rPr>
        <w:t>сидии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из средств, </w:t>
      </w:r>
      <w:r w:rsidR="004D0F93">
        <w:rPr>
          <w:rFonts w:ascii="Times New Roman" w:eastAsia="Times New Roman" w:hAnsi="Times New Roman" w:cs="Times New Roman"/>
          <w:sz w:val="28"/>
          <w:szCs w:val="28"/>
        </w:rPr>
        <w:t>федерального и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краевого бюджет</w:t>
      </w:r>
      <w:r w:rsidR="00851943" w:rsidRPr="002904A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, поступление которых ожидается в течение 20</w:t>
      </w:r>
      <w:r w:rsidR="00953ED3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05F52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D4678" w:rsidRPr="002904A6" w:rsidRDefault="002D4678" w:rsidP="00686E7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E78" w:rsidRPr="002904A6" w:rsidRDefault="00686E78" w:rsidP="00686E7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68AD" w:rsidRPr="002904A6" w:rsidRDefault="009A68AD" w:rsidP="009A6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Проектом бюджета в соответствии с п. 3 ст. 184.1 БК РФ, в </w:t>
      </w:r>
      <w:r w:rsidR="00851943" w:rsidRPr="002904A6">
        <w:rPr>
          <w:rFonts w:ascii="Times New Roman" w:eastAsia="Times New Roman" w:hAnsi="Times New Roman" w:cs="Times New Roman"/>
          <w:sz w:val="28"/>
          <w:szCs w:val="28"/>
        </w:rPr>
        <w:t>Петровском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 утверждены:</w:t>
      </w:r>
    </w:p>
    <w:p w:rsidR="009A68AD" w:rsidRPr="002904A6" w:rsidRDefault="009A68AD" w:rsidP="009A6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-приложение №5 «Распределение бюджетных ассигнований по разделам, подразделам, целевым статьям группам и подгруппам видов расходов классификации расходов  бюджета  </w:t>
      </w:r>
      <w:r w:rsidR="009D1532" w:rsidRPr="002904A6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сельского поселения Славянского района»;</w:t>
      </w:r>
    </w:p>
    <w:p w:rsidR="009A68AD" w:rsidRPr="002904A6" w:rsidRDefault="009A68AD" w:rsidP="009A6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-приложение №6 «Распределение бюджетных ассигнований по целевым статьям (муниципальным программам </w:t>
      </w:r>
      <w:r w:rsidR="009D1532" w:rsidRPr="002904A6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и непрограммным направлениям деятельности) группам  видов расходов классификации расходов бюджета </w:t>
      </w:r>
      <w:r w:rsidR="009D1532" w:rsidRPr="002904A6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на 2021 год»;</w:t>
      </w:r>
    </w:p>
    <w:p w:rsidR="009A68AD" w:rsidRPr="002904A6" w:rsidRDefault="009A68AD" w:rsidP="009A68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lastRenderedPageBreak/>
        <w:t>-приложение №</w:t>
      </w:r>
      <w:r w:rsidR="009D1532" w:rsidRPr="002904A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r w:rsidR="009D1532" w:rsidRPr="002904A6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на 2021 год».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Основными принципами формирования расходной части бюджета являются: 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>-обеспечение финансирования первоочередных расходных обязательств;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-повышение эффективности бюджетных средств; 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-обеспечение безусловного исполнения принимаемых бюджетных обязательств; 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-обеспечение преемственности бюджетной и налоговой политики с учетом необходимости достижения целей муниципальных программ и обеспечения устойчивого развития  экономики и социальной стабильности в </w:t>
      </w:r>
      <w:r w:rsidR="00466FE3"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Петровском 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сельском поселении при эффективном использовании средств бюджета.     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>Анализ формирования расходной части бюджета показал, что бюджетные  ассигнования на финансирование расходов районного бюджета на 2021 год распределены по 9 разделам  классификации расходов.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Разделы и подразделы классификации расходов районного бюджета на 2021 год  определены в соответствии с требованиями ст.21 БК РФ.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Бюджетные ассигнования распределены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бюджета, что соответствует требованиям ст.184.1 БК РФ.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Объем и структура расходов проекта бюджета </w:t>
      </w:r>
      <w:r w:rsidR="006C54F5" w:rsidRPr="002904A6">
        <w:rPr>
          <w:rFonts w:ascii="Times New Roman" w:eastAsia="Times New Roman" w:hAnsi="Times New Roman" w:cs="Times New Roman"/>
          <w:bCs/>
          <w:sz w:val="28"/>
          <w:szCs w:val="28"/>
        </w:rPr>
        <w:t>Петровского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 на 2021 год сформированы с учетом возможностей доходной базы и установленными расходными обязательствами.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Действующие обязательства сельского поселения  подтверждены муниципальными правовыми актами и отражены в реестре расходных обязательств, сформированном, согласно требованиям ст. 87 Бюджетного кодекса РФ.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Расходы по обязательствам бюджета на 2021 год спрогнозированы в сумме  </w:t>
      </w:r>
      <w:r w:rsidR="006C54F5" w:rsidRPr="002904A6">
        <w:rPr>
          <w:rFonts w:ascii="Times New Roman" w:eastAsia="Times New Roman" w:hAnsi="Times New Roman" w:cs="Times New Roman"/>
          <w:bCs/>
          <w:sz w:val="28"/>
          <w:szCs w:val="28"/>
        </w:rPr>
        <w:t>61830,2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тыс.рублей.                                                                        </w:t>
      </w:r>
    </w:p>
    <w:p w:rsidR="009A68AD" w:rsidRPr="002904A6" w:rsidRDefault="009A68AD" w:rsidP="009A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481" w:rsidRDefault="00002481" w:rsidP="000024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Структура расходов бюджета сельского поселения, запланированных на 20</w:t>
      </w:r>
      <w:r w:rsidR="001942E3"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9A68AD" w:rsidRPr="002904A6">
        <w:rPr>
          <w:rFonts w:ascii="Times New Roman" w:eastAsia="Times New Roman" w:hAnsi="Times New Roman" w:cs="Times New Roman"/>
          <w:sz w:val="28"/>
          <w:szCs w:val="28"/>
        </w:rPr>
        <w:t xml:space="preserve">1 год, отражена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на рисунке № 2.</w:t>
      </w:r>
    </w:p>
    <w:p w:rsidR="007873C4" w:rsidRDefault="007873C4" w:rsidP="000024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3C4" w:rsidRDefault="007873C4" w:rsidP="000024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3C4" w:rsidRDefault="007873C4" w:rsidP="000024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3C4" w:rsidRDefault="007873C4" w:rsidP="000024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3C4" w:rsidRDefault="007873C4" w:rsidP="000024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3C4" w:rsidRDefault="007873C4" w:rsidP="000024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3C4" w:rsidRPr="002904A6" w:rsidRDefault="007873C4" w:rsidP="000024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092" w:rsidRPr="002904A6" w:rsidRDefault="00095919" w:rsidP="00095919">
      <w:pPr>
        <w:tabs>
          <w:tab w:val="left" w:pos="82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ab/>
        <w:t>Рис.2</w:t>
      </w:r>
    </w:p>
    <w:p w:rsidR="0099791C" w:rsidRPr="002904A6" w:rsidRDefault="00095919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63540" cy="443484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9791C" w:rsidRPr="002904A6" w:rsidRDefault="0099791C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092" w:rsidRPr="002904A6" w:rsidRDefault="00CA1092" w:rsidP="00CA10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в структуре расходов занимают расходы на:</w:t>
      </w:r>
    </w:p>
    <w:p w:rsidR="00CA1092" w:rsidRPr="002904A6" w:rsidRDefault="00CA1092" w:rsidP="00CA10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-общегосударственные вопросы-</w:t>
      </w:r>
      <w:r w:rsidR="009A68AD" w:rsidRPr="002904A6">
        <w:rPr>
          <w:rFonts w:ascii="Times New Roman" w:eastAsia="Times New Roman" w:hAnsi="Times New Roman" w:cs="Times New Roman"/>
          <w:sz w:val="28"/>
          <w:szCs w:val="28"/>
        </w:rPr>
        <w:t>45,6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A1092" w:rsidRPr="002904A6" w:rsidRDefault="00CA1092" w:rsidP="00CA10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-национальную экономику-</w:t>
      </w:r>
      <w:r w:rsidR="009A68AD" w:rsidRPr="002904A6">
        <w:rPr>
          <w:rFonts w:ascii="Times New Roman" w:eastAsia="Times New Roman" w:hAnsi="Times New Roman" w:cs="Times New Roman"/>
          <w:sz w:val="28"/>
          <w:szCs w:val="28"/>
        </w:rPr>
        <w:t>21,1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CA1092" w:rsidRPr="002904A6" w:rsidRDefault="00CA1092" w:rsidP="00CA10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-жкх-</w:t>
      </w:r>
      <w:r w:rsidR="009A68AD" w:rsidRPr="002904A6">
        <w:rPr>
          <w:rFonts w:ascii="Times New Roman" w:eastAsia="Times New Roman" w:hAnsi="Times New Roman" w:cs="Times New Roman"/>
          <w:sz w:val="28"/>
          <w:szCs w:val="28"/>
        </w:rPr>
        <w:t>10,2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CA1092" w:rsidRPr="002904A6" w:rsidRDefault="00CA1092" w:rsidP="00CA10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-культуру-</w:t>
      </w:r>
      <w:r w:rsidR="009A68AD" w:rsidRPr="002904A6">
        <w:rPr>
          <w:rFonts w:ascii="Times New Roman" w:eastAsia="Times New Roman" w:hAnsi="Times New Roman" w:cs="Times New Roman"/>
          <w:sz w:val="28"/>
          <w:szCs w:val="28"/>
        </w:rPr>
        <w:t>20,9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CA1092" w:rsidRPr="002904A6" w:rsidRDefault="00CA1092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092" w:rsidRPr="002904A6" w:rsidRDefault="00CA1092" w:rsidP="00CA1092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>Динамика планируемых расходов бюджета сельского поселения за 201</w:t>
      </w:r>
      <w:r w:rsidR="00790141" w:rsidRPr="002904A6">
        <w:rPr>
          <w:rFonts w:ascii="Times New Roman" w:hAnsi="Times New Roman" w:cs="Times New Roman"/>
          <w:sz w:val="28"/>
          <w:szCs w:val="28"/>
        </w:rPr>
        <w:t>9</w:t>
      </w:r>
      <w:r w:rsidR="00AC08E7" w:rsidRPr="002904A6">
        <w:rPr>
          <w:rFonts w:ascii="Times New Roman" w:hAnsi="Times New Roman" w:cs="Times New Roman"/>
          <w:sz w:val="28"/>
          <w:szCs w:val="28"/>
        </w:rPr>
        <w:t>-202</w:t>
      </w:r>
      <w:r w:rsidR="00790141" w:rsidRPr="002904A6">
        <w:rPr>
          <w:rFonts w:ascii="Times New Roman" w:hAnsi="Times New Roman" w:cs="Times New Roman"/>
          <w:sz w:val="28"/>
          <w:szCs w:val="28"/>
        </w:rPr>
        <w:t>1</w:t>
      </w:r>
      <w:r w:rsidR="00AC08E7" w:rsidRPr="002904A6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2904A6">
        <w:rPr>
          <w:rFonts w:ascii="Times New Roman" w:hAnsi="Times New Roman" w:cs="Times New Roman"/>
          <w:sz w:val="28"/>
          <w:szCs w:val="28"/>
        </w:rPr>
        <w:t xml:space="preserve"> представлена в Таблице №3.</w:t>
      </w:r>
    </w:p>
    <w:p w:rsidR="00CA1092" w:rsidRPr="002904A6" w:rsidRDefault="00CA1092" w:rsidP="00CA1092">
      <w:pPr>
        <w:tabs>
          <w:tab w:val="left" w:pos="82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04A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Таблица №3                                                                                                                   </w:t>
      </w:r>
    </w:p>
    <w:p w:rsidR="00CA1092" w:rsidRPr="002904A6" w:rsidRDefault="00CA1092" w:rsidP="00CA10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A6">
        <w:rPr>
          <w:rFonts w:ascii="Times New Roman" w:hAnsi="Times New Roman" w:cs="Times New Roman"/>
          <w:b/>
          <w:sz w:val="28"/>
          <w:szCs w:val="28"/>
        </w:rPr>
        <w:t>Динамика расходов бюджета Петровского сельского поселения</w:t>
      </w:r>
    </w:p>
    <w:p w:rsidR="00CA1092" w:rsidRPr="002904A6" w:rsidRDefault="00CA1092" w:rsidP="00CA109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A6">
        <w:rPr>
          <w:rFonts w:ascii="Times New Roman" w:hAnsi="Times New Roman" w:cs="Times New Roman"/>
          <w:b/>
          <w:sz w:val="28"/>
          <w:szCs w:val="28"/>
        </w:rPr>
        <w:t>Славянского района за период 201</w:t>
      </w:r>
      <w:r w:rsidR="00790141" w:rsidRPr="002904A6">
        <w:rPr>
          <w:rFonts w:ascii="Times New Roman" w:hAnsi="Times New Roman" w:cs="Times New Roman"/>
          <w:b/>
          <w:sz w:val="28"/>
          <w:szCs w:val="28"/>
        </w:rPr>
        <w:t>9</w:t>
      </w:r>
      <w:r w:rsidRPr="002904A6">
        <w:rPr>
          <w:rFonts w:ascii="Times New Roman" w:hAnsi="Times New Roman" w:cs="Times New Roman"/>
          <w:b/>
          <w:sz w:val="28"/>
          <w:szCs w:val="28"/>
        </w:rPr>
        <w:t>-20</w:t>
      </w:r>
      <w:r w:rsidR="00790141" w:rsidRPr="002904A6">
        <w:rPr>
          <w:rFonts w:ascii="Times New Roman" w:hAnsi="Times New Roman" w:cs="Times New Roman"/>
          <w:b/>
          <w:sz w:val="28"/>
          <w:szCs w:val="28"/>
        </w:rPr>
        <w:t>21</w:t>
      </w:r>
      <w:r w:rsidRPr="002904A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790141" w:rsidRPr="002904A6" w:rsidRDefault="00790141" w:rsidP="00686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2127"/>
        <w:gridCol w:w="1134"/>
        <w:gridCol w:w="1134"/>
        <w:gridCol w:w="851"/>
        <w:gridCol w:w="992"/>
        <w:gridCol w:w="992"/>
        <w:gridCol w:w="709"/>
        <w:gridCol w:w="992"/>
        <w:gridCol w:w="859"/>
        <w:gridCol w:w="842"/>
      </w:tblGrid>
      <w:tr w:rsidR="00790141" w:rsidRPr="002904A6" w:rsidTr="00790141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2019 год, т. р.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ожидаемое исполн. 2020г.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2021г.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к 2019 году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к  ожид</w:t>
            </w:r>
            <w:r w:rsidR="002904A6"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</w:t>
            </w:r>
            <w:r w:rsidR="002904A6"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Структура расходов% </w:t>
            </w:r>
          </w:p>
        </w:tc>
      </w:tr>
      <w:tr w:rsidR="00790141" w:rsidRPr="002904A6" w:rsidTr="00790141">
        <w:trPr>
          <w:trHeight w:val="2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141" w:rsidRPr="002904A6" w:rsidTr="00790141">
        <w:trPr>
          <w:trHeight w:val="6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141" w:rsidRPr="002904A6" w:rsidTr="00790141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т.р.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т.р.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т.р.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 Администрация  поселения Славянского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100 308,3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87 485,5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61 830,2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-38 478,1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-12 822,8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24 907,7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26 226,2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28 187,1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3 279,4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1 318,5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45,6</w:t>
            </w:r>
          </w:p>
        </w:tc>
      </w:tr>
      <w:tr w:rsidR="002904A6" w:rsidRPr="002904A6" w:rsidTr="003B1858">
        <w:trPr>
          <w:trHeight w:val="5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1 136,5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1 030,0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1 059,0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-77,5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-106,5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90,6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7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6 232,7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7 383,7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6 937,9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705,2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1 151,0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118,5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1 057,4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1 079,2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-1 057,4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полномочий по внешнему контролю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-9,0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Передача полномочий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315,9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16 374,1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17 714,5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18 858,0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2 483,9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1 340,4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108,2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ВУС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665,3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729,3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647,0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-18,3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A6" w:rsidRPr="002904A6" w:rsidTr="002904A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3B1858"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-5,0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A6" w:rsidRPr="002904A6" w:rsidTr="002904A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49 005,1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35 198,0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13 032,4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-35 972,7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-13 807,1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49 002,1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35 075,7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12 867,4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-36 134,7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-13 926,4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71,6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122,3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4 076,7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119,3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4 076,7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A6" w:rsidRPr="002904A6" w:rsidTr="002904A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10 447,4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8 476,0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6 318,2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-4 129,2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-1 971,4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10,2</w:t>
            </w: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6 271,2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4 234,1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2 126,2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-4 145,0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-2 037,1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4 176,2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4 241,9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4 192,0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101,6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4A6" w:rsidRPr="002904A6" w:rsidTr="002904A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и </w:t>
            </w: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-31,1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135,3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A6" w:rsidRPr="002904A6" w:rsidTr="002904A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14 255,3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15 841,1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-1 307,7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1 585,8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20,9</w:t>
            </w: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14 255,3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15 841,1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12 947,6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-1 307,7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1 585,8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111,1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A6" w:rsidRPr="002904A6" w:rsidTr="002904A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363,9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4A6" w:rsidRPr="002904A6" w:rsidTr="002904A6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2904A6" w:rsidRPr="002904A6" w:rsidTr="003B1858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-64,3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114,5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04A6" w:rsidRPr="002904A6" w:rsidTr="002904A6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-277,9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-212,9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0,3</w:t>
            </w:r>
          </w:p>
        </w:tc>
      </w:tr>
      <w:tr w:rsidR="002904A6" w:rsidRPr="002904A6" w:rsidTr="003B1858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457,9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245,0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-277,9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-212,9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53,5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04A6" w:rsidRPr="002904A6" w:rsidTr="003B1858">
        <w:trPr>
          <w:trHeight w:val="3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41" w:rsidRPr="002904A6" w:rsidRDefault="00790141" w:rsidP="00790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100 308,3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87 485,5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61 830,2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-38 478,1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-12 822,8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141" w:rsidRPr="002904A6" w:rsidRDefault="00790141" w:rsidP="003B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4A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686E78" w:rsidRPr="002904A6" w:rsidRDefault="00686E78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B21B42" w:rsidRPr="002904A6" w:rsidRDefault="00B21B42" w:rsidP="00B21B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году прогнозируется снижение расходов по сравнению с текущим годом на 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>12,8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% или на 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>12822,8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 xml:space="preserve"> и на 38,4% по сравнению с исполненными расходами за 2019 год или на 38478,1 тыс.рублей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1B42" w:rsidRPr="002904A6" w:rsidRDefault="00B21B42" w:rsidP="00B21B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Наибольш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>ий удельный вес в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снижение расходов 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по следующим разделам:</w:t>
      </w:r>
    </w:p>
    <w:p w:rsidR="00B21B42" w:rsidRPr="002904A6" w:rsidRDefault="00B21B42" w:rsidP="00B21B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 xml:space="preserve">«Национальная экономика»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планируемая сумма составит 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>13032,4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тыс.рублей, что на 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>13807,1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 меньше чем в текущем году или на 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>28,2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%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 xml:space="preserve"> и на 35972,7 тыс.рублей ниже исполненных расходов за 2019 год или на 73,4%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1B42" w:rsidRPr="002904A6" w:rsidRDefault="00B21B42" w:rsidP="00B21B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«Жилищно-коммунальное хозяйство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» планируемая сумма составит 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>6318,2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тыс.рублей, что  на 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>1971,4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 меньше чем в текущем году или на 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>18,9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%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 xml:space="preserve"> и на </w:t>
      </w:r>
      <w:r w:rsidR="009D1532" w:rsidRPr="002904A6">
        <w:rPr>
          <w:rFonts w:ascii="Times New Roman" w:eastAsia="Times New Roman" w:hAnsi="Times New Roman" w:cs="Times New Roman"/>
          <w:sz w:val="28"/>
          <w:szCs w:val="28"/>
        </w:rPr>
        <w:t>4129,2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 ниже исполненных расходов за 2019 год или на </w:t>
      </w:r>
      <w:r w:rsidR="009D1532" w:rsidRPr="002904A6">
        <w:rPr>
          <w:rFonts w:ascii="Times New Roman" w:eastAsia="Times New Roman" w:hAnsi="Times New Roman" w:cs="Times New Roman"/>
          <w:sz w:val="28"/>
          <w:szCs w:val="28"/>
        </w:rPr>
        <w:t>39,5</w:t>
      </w:r>
      <w:r w:rsidR="003B1858" w:rsidRPr="002904A6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08E7" w:rsidRPr="002904A6" w:rsidRDefault="00AC08E7" w:rsidP="00686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606" w:rsidRPr="002904A6" w:rsidRDefault="003D5606" w:rsidP="003D56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Бюджетом предусмотрены расходы по межбюджетным трансфертам, предоставляемые в бюджет муниципального образования Славянский район в сумме </w:t>
      </w:r>
      <w:r w:rsidR="00851943" w:rsidRPr="002904A6">
        <w:rPr>
          <w:rFonts w:ascii="Times New Roman" w:eastAsia="Times New Roman" w:hAnsi="Times New Roman" w:cs="Times New Roman"/>
          <w:sz w:val="28"/>
          <w:szCs w:val="28"/>
        </w:rPr>
        <w:t>529,2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тыс.рублей.</w:t>
      </w:r>
    </w:p>
    <w:p w:rsidR="00A425CF" w:rsidRPr="002904A6" w:rsidRDefault="00A425CF" w:rsidP="00A425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Планирование бюджетных ассигнований на исполнение переданных полномочий в соответствии со ст.174.2</w:t>
      </w:r>
      <w:r w:rsidR="004D0F93">
        <w:rPr>
          <w:rFonts w:ascii="Times New Roman" w:eastAsia="Times New Roman" w:hAnsi="Times New Roman" w:cs="Times New Roman"/>
          <w:sz w:val="28"/>
          <w:szCs w:val="28"/>
        </w:rPr>
        <w:t xml:space="preserve"> БК РФ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на основании разработанн</w:t>
      </w:r>
      <w:r w:rsidR="00851943" w:rsidRPr="002904A6">
        <w:rPr>
          <w:rFonts w:ascii="Times New Roman" w:eastAsia="Times New Roman" w:hAnsi="Times New Roman" w:cs="Times New Roman"/>
          <w:sz w:val="28"/>
          <w:szCs w:val="28"/>
        </w:rPr>
        <w:t>ых методик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их планирования.</w:t>
      </w:r>
    </w:p>
    <w:p w:rsidR="004F1FC5" w:rsidRPr="002904A6" w:rsidRDefault="004F1FC5" w:rsidP="004F1F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Петровского сельского поселения Славянского района от </w:t>
      </w:r>
      <w:r w:rsidR="0032022A" w:rsidRPr="002904A6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32022A" w:rsidRPr="002904A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32022A" w:rsidRPr="002904A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</w:t>
      </w:r>
      <w:r w:rsidR="0032022A" w:rsidRPr="002904A6">
        <w:rPr>
          <w:rFonts w:ascii="Times New Roman" w:eastAsia="Times New Roman" w:hAnsi="Times New Roman" w:cs="Times New Roman"/>
          <w:bCs/>
          <w:sz w:val="28"/>
          <w:szCs w:val="28"/>
        </w:rPr>
        <w:t>283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методик распределения межбюджетных трансфертов из бюджета Петровского сельского 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поселения Славянского района бюджету муниципального образования Славянский район на обеспечение передаваемых полномочий на очередной финансовый год» утверждены методики распределения межбюджетных трансфертов на 202</w:t>
      </w:r>
      <w:r w:rsidR="0032022A" w:rsidRPr="002904A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год:</w:t>
      </w:r>
    </w:p>
    <w:p w:rsidR="00A425CF" w:rsidRPr="002904A6" w:rsidRDefault="00A425CF" w:rsidP="00A425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5"/>
        <w:gridCol w:w="3056"/>
      </w:tblGrid>
      <w:tr w:rsidR="002904A6" w:rsidRPr="002904A6" w:rsidTr="00662298">
        <w:trPr>
          <w:trHeight w:val="7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2A" w:rsidRPr="0032022A" w:rsidRDefault="0032022A" w:rsidP="003202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>Наименование передаваемого полномочия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2A" w:rsidRPr="0032022A" w:rsidRDefault="0032022A" w:rsidP="003202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>Сумма</w:t>
            </w:r>
          </w:p>
          <w:p w:rsidR="0032022A" w:rsidRPr="0032022A" w:rsidRDefault="0032022A" w:rsidP="003202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>расходов</w:t>
            </w:r>
          </w:p>
          <w:p w:rsidR="0032022A" w:rsidRPr="0032022A" w:rsidRDefault="0032022A" w:rsidP="003202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>(тыс.рублей)</w:t>
            </w:r>
          </w:p>
        </w:tc>
      </w:tr>
      <w:tr w:rsidR="002904A6" w:rsidRPr="002904A6" w:rsidTr="0032022A">
        <w:trPr>
          <w:trHeight w:val="31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2A" w:rsidRPr="0032022A" w:rsidRDefault="0032022A" w:rsidP="003202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2022A">
              <w:rPr>
                <w:rFonts w:ascii="Times New Roman" w:eastAsia="Times New Roman" w:hAnsi="Times New Roman" w:cs="Times New Roman"/>
                <w:b/>
              </w:rPr>
              <w:t>Межбюджетные трансферты,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2A" w:rsidRPr="0032022A" w:rsidRDefault="0032022A" w:rsidP="003202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04A6">
              <w:rPr>
                <w:rFonts w:ascii="Times New Roman" w:eastAsia="Times New Roman" w:hAnsi="Times New Roman" w:cs="Times New Roman"/>
                <w:b/>
              </w:rPr>
              <w:t>529,2</w:t>
            </w:r>
          </w:p>
        </w:tc>
      </w:tr>
      <w:tr w:rsidR="002904A6" w:rsidRPr="002904A6" w:rsidTr="0032022A">
        <w:trPr>
          <w:trHeight w:val="712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2A" w:rsidRPr="0032022A" w:rsidRDefault="0032022A" w:rsidP="003202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32022A" w:rsidRPr="0032022A" w:rsidRDefault="0032022A" w:rsidP="003202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>Предоставляемые из местного бюджета на финансирование расходов, связанных с передачей части полномочий органам местного самоуправления муниципального образования Славянский район по обеспечению деятельности финансовых, налоговых и таможенных и органов финансового (финансово-бюджетного) надзора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22A" w:rsidRPr="0032022A" w:rsidRDefault="0032022A" w:rsidP="003202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04A6">
              <w:rPr>
                <w:rFonts w:ascii="Times New Roman" w:eastAsia="Times New Roman" w:hAnsi="Times New Roman" w:cs="Times New Roman"/>
              </w:rPr>
              <w:t>133,0</w:t>
            </w:r>
          </w:p>
        </w:tc>
      </w:tr>
      <w:tr w:rsidR="002904A6" w:rsidRPr="002904A6" w:rsidTr="0032022A">
        <w:trPr>
          <w:trHeight w:val="41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2A" w:rsidRPr="0032022A" w:rsidRDefault="0032022A" w:rsidP="003202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>Предоставляемые из местного бюджета на финансирование расходов, связанных с передачей части полномочий органам местного самоуправления муниципального образования Славянский район по осуществлению внутреннего муниципального финансового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22A" w:rsidRPr="0032022A" w:rsidRDefault="0032022A" w:rsidP="003202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04A6">
              <w:rPr>
                <w:rFonts w:ascii="Times New Roman" w:eastAsia="Times New Roman" w:hAnsi="Times New Roman" w:cs="Times New Roman"/>
              </w:rPr>
              <w:t>79,0</w:t>
            </w:r>
          </w:p>
        </w:tc>
      </w:tr>
      <w:tr w:rsidR="002904A6" w:rsidRPr="002904A6" w:rsidTr="0032022A">
        <w:trPr>
          <w:trHeight w:val="41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2A" w:rsidRPr="0032022A" w:rsidRDefault="0032022A" w:rsidP="003202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>Предоставляемые из местного бюджета на финансирование расходов, связанных с передачей части полномочий органам местного самоуправления муниципального образования Славянский район по размещению сведений на портале «Государственные и муниципальные услуги»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22A" w:rsidRPr="0032022A" w:rsidRDefault="0032022A" w:rsidP="003202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04A6">
              <w:rPr>
                <w:rFonts w:ascii="Times New Roman" w:eastAsia="Times New Roman" w:hAnsi="Times New Roman" w:cs="Times New Roman"/>
              </w:rPr>
              <w:t>32,0</w:t>
            </w:r>
          </w:p>
        </w:tc>
      </w:tr>
      <w:tr w:rsidR="002904A6" w:rsidRPr="002904A6" w:rsidTr="0032022A">
        <w:trPr>
          <w:trHeight w:val="41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2A" w:rsidRPr="0032022A" w:rsidRDefault="0032022A" w:rsidP="003202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 xml:space="preserve">Предоставляемые из местного бюджета на финансирование расходов, связанных с передачей части полномочий органам местного самоуправления муниципального образования Славянский район по решению вопросов местного значения </w:t>
            </w:r>
            <w:r w:rsidRPr="002904A6">
              <w:rPr>
                <w:rFonts w:ascii="Times New Roman" w:eastAsia="Times New Roman" w:hAnsi="Times New Roman" w:cs="Times New Roman"/>
              </w:rPr>
              <w:t>Петровского</w:t>
            </w:r>
            <w:r w:rsidRPr="0032022A">
              <w:rPr>
                <w:rFonts w:ascii="Times New Roman" w:eastAsia="Times New Roman" w:hAnsi="Times New Roman" w:cs="Times New Roman"/>
              </w:rPr>
              <w:t xml:space="preserve"> сельского поселения Славянского района в части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22A" w:rsidRPr="0032022A" w:rsidRDefault="0032022A" w:rsidP="003202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04A6">
              <w:rPr>
                <w:rFonts w:ascii="Times New Roman" w:eastAsia="Times New Roman" w:hAnsi="Times New Roman" w:cs="Times New Roman"/>
              </w:rPr>
              <w:t>150,0</w:t>
            </w:r>
          </w:p>
        </w:tc>
      </w:tr>
      <w:tr w:rsidR="002904A6" w:rsidRPr="002904A6" w:rsidTr="0032022A">
        <w:trPr>
          <w:trHeight w:val="247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2A" w:rsidRPr="0032022A" w:rsidRDefault="0032022A" w:rsidP="003202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 xml:space="preserve">Предоставляемые из местного бюджета на финансирование расходов, связанных с передачей части полномочий органам местного самоуправления муниципального образования Славянский район по созданию условий для обеспечения жителей поселения услугами общественного питания, торговли и бытового обслуживания в части определения порядка и условия размещения нестационарных торговых объектов и предоставления права на размещение нестационарных торговых объектов на территории </w:t>
            </w:r>
            <w:r w:rsidRPr="002904A6">
              <w:rPr>
                <w:rFonts w:ascii="Times New Roman" w:eastAsia="Times New Roman" w:hAnsi="Times New Roman" w:cs="Times New Roman"/>
              </w:rPr>
              <w:t>Петровского</w:t>
            </w:r>
            <w:r w:rsidRPr="0032022A">
              <w:rPr>
                <w:rFonts w:ascii="Times New Roman" w:eastAsia="Times New Roman" w:hAnsi="Times New Roman" w:cs="Times New Roman"/>
              </w:rPr>
              <w:t xml:space="preserve"> сельского поселения Славянского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22A" w:rsidRPr="0032022A" w:rsidRDefault="0032022A" w:rsidP="003202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04A6">
              <w:rPr>
                <w:rFonts w:ascii="Times New Roman" w:eastAsia="Times New Roman" w:hAnsi="Times New Roman" w:cs="Times New Roman"/>
              </w:rPr>
              <w:t>9,0</w:t>
            </w:r>
          </w:p>
        </w:tc>
      </w:tr>
      <w:tr w:rsidR="002904A6" w:rsidRPr="002904A6" w:rsidTr="0032022A">
        <w:trPr>
          <w:trHeight w:val="118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22A" w:rsidRPr="0032022A" w:rsidRDefault="0032022A" w:rsidP="003202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2022A">
              <w:rPr>
                <w:rFonts w:ascii="Times New Roman" w:eastAsia="Times New Roman" w:hAnsi="Times New Roman" w:cs="Times New Roman"/>
              </w:rPr>
              <w:t xml:space="preserve">Предоставляемые из местного бюджета на финансирование расходов, связанных с передачей части полномочий органам местного самоуправления муниципального образования Славянский район по организации теплоснабжения в границах </w:t>
            </w:r>
            <w:r w:rsidRPr="002904A6">
              <w:rPr>
                <w:rFonts w:ascii="Times New Roman" w:eastAsia="Times New Roman" w:hAnsi="Times New Roman" w:cs="Times New Roman"/>
              </w:rPr>
              <w:t>Петровского</w:t>
            </w:r>
            <w:r w:rsidRPr="0032022A">
              <w:rPr>
                <w:rFonts w:ascii="Times New Roman" w:eastAsia="Times New Roman" w:hAnsi="Times New Roman" w:cs="Times New Roman"/>
              </w:rPr>
              <w:t xml:space="preserve"> сельского поселения Славянского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22A" w:rsidRPr="0032022A" w:rsidRDefault="0032022A" w:rsidP="0032022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2904A6">
              <w:rPr>
                <w:rFonts w:ascii="Times New Roman" w:eastAsia="Times New Roman" w:hAnsi="Times New Roman" w:cs="Times New Roman"/>
              </w:rPr>
              <w:t>126,2</w:t>
            </w:r>
          </w:p>
        </w:tc>
      </w:tr>
    </w:tbl>
    <w:p w:rsidR="004F1FC5" w:rsidRPr="002904A6" w:rsidRDefault="004F1FC5" w:rsidP="00666E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718" w:rsidRPr="002904A6" w:rsidRDefault="00B3437B" w:rsidP="0000371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По разделу </w:t>
      </w: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«Обслуживание государственного и муниципального долга»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4D0F9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году сельским поселением предусмотрены расходы в объёме </w:t>
      </w:r>
      <w:r w:rsidR="00AB0361" w:rsidRPr="002904A6">
        <w:rPr>
          <w:rFonts w:ascii="Times New Roman" w:eastAsia="Times New Roman" w:hAnsi="Times New Roman" w:cs="Times New Roman"/>
          <w:sz w:val="28"/>
          <w:szCs w:val="28"/>
        </w:rPr>
        <w:t>180,0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 и включают в себя мероприятия в области обслуживания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долга. </w:t>
      </w:r>
      <w:r w:rsidR="00003718" w:rsidRPr="002904A6">
        <w:rPr>
          <w:rFonts w:ascii="Times New Roman" w:eastAsia="Times New Roman" w:hAnsi="Times New Roman" w:cs="Times New Roman"/>
          <w:sz w:val="28"/>
          <w:szCs w:val="28"/>
        </w:rPr>
        <w:t xml:space="preserve">В 2021 году сельским поселением не планируется  привлечение и погашение кредитов от других бюджетов бюджетной системы Российской Федерации, в связи с чем, в программе муниципальных заимствований Петровского сельского поселения и в источниках внутреннего финансирования дефицита бюджета суммы не запланированы. </w:t>
      </w:r>
    </w:p>
    <w:p w:rsidR="00177CBF" w:rsidRPr="00177CBF" w:rsidRDefault="00177CBF" w:rsidP="00177C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CBF">
        <w:rPr>
          <w:rFonts w:ascii="Times New Roman" w:eastAsia="Times New Roman" w:hAnsi="Times New Roman" w:cs="Times New Roman"/>
          <w:sz w:val="28"/>
          <w:szCs w:val="28"/>
        </w:rPr>
        <w:t xml:space="preserve">Объем предусмотренных бюджетом в 2021 году расходов ниже суммарного объема доходов бюджета в 2021 году,тем самым означает, что бюджет Петровского сельского поселения на 2021 год прогнозируется с профицитом в сумме 112,5 тыс.рублей. </w:t>
      </w:r>
    </w:p>
    <w:p w:rsidR="00177CBF" w:rsidRPr="00177CBF" w:rsidRDefault="00177CBF" w:rsidP="00177C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1058" w:rsidRPr="002904A6" w:rsidRDefault="00801058" w:rsidP="008010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Применение программно-целевого метода</w:t>
      </w:r>
    </w:p>
    <w:p w:rsidR="00801058" w:rsidRPr="002904A6" w:rsidRDefault="00801058" w:rsidP="008010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/>
          <w:sz w:val="28"/>
          <w:szCs w:val="28"/>
        </w:rPr>
        <w:t>планирования расходов   бюджета</w:t>
      </w:r>
    </w:p>
    <w:p w:rsidR="00801058" w:rsidRPr="002904A6" w:rsidRDefault="00801058" w:rsidP="008010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08E5" w:rsidRPr="002904A6" w:rsidRDefault="008108E5" w:rsidP="008108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ст. 172 БК РФ составление бюджета, помимо </w:t>
      </w:r>
      <w:r w:rsidRPr="002904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послания Президента Российской Федерации Федеральному Собранию Российской Федерации, определяющих бюджетную политику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, прогноза социально-экономического развития, основных направлений бюджетной и налоговой политики и бюджетного прогноза на долгосрочный период, основывается и на государственных (муниципальных) программах.</w:t>
      </w:r>
    </w:p>
    <w:p w:rsidR="00BE03F5" w:rsidRPr="002904A6" w:rsidRDefault="008108E5" w:rsidP="008108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sz w:val="28"/>
          <w:szCs w:val="28"/>
        </w:rPr>
        <w:t>Проект бюджета на 202</w:t>
      </w:r>
      <w:r w:rsidR="00AB0361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 содержит расходные обязательства на проведение мероприятий по </w:t>
      </w:r>
      <w:r w:rsidR="002C1BD9" w:rsidRPr="002904A6">
        <w:rPr>
          <w:rFonts w:ascii="Times New Roman" w:eastAsia="Times New Roman" w:hAnsi="Times New Roman" w:cs="Times New Roman"/>
          <w:sz w:val="28"/>
          <w:szCs w:val="28"/>
        </w:rPr>
        <w:t>четырем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программам </w:t>
      </w:r>
      <w:r w:rsidR="00EB7013" w:rsidRPr="002904A6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871103" w:rsidRPr="002904A6">
        <w:rPr>
          <w:rFonts w:ascii="Times New Roman" w:eastAsia="Times New Roman" w:hAnsi="Times New Roman" w:cs="Times New Roman"/>
          <w:b/>
          <w:sz w:val="28"/>
          <w:szCs w:val="28"/>
        </w:rPr>
        <w:t xml:space="preserve">3765,770 </w:t>
      </w:r>
      <w:r w:rsidR="00BE03F5" w:rsidRPr="002904A6">
        <w:rPr>
          <w:rFonts w:ascii="Times New Roman" w:eastAsia="Times New Roman" w:hAnsi="Times New Roman" w:cs="Times New Roman"/>
          <w:sz w:val="28"/>
          <w:szCs w:val="28"/>
        </w:rPr>
        <w:t xml:space="preserve">тыс.рублей или </w:t>
      </w:r>
      <w:r w:rsidR="00871103" w:rsidRPr="002904A6">
        <w:rPr>
          <w:rFonts w:ascii="Times New Roman" w:eastAsia="Times New Roman" w:hAnsi="Times New Roman" w:cs="Times New Roman"/>
          <w:sz w:val="28"/>
          <w:szCs w:val="28"/>
        </w:rPr>
        <w:t>6,0</w:t>
      </w:r>
      <w:r w:rsidR="00BE03F5" w:rsidRPr="002904A6">
        <w:rPr>
          <w:rFonts w:ascii="Times New Roman" w:eastAsia="Times New Roman" w:hAnsi="Times New Roman" w:cs="Times New Roman"/>
          <w:sz w:val="28"/>
          <w:szCs w:val="28"/>
        </w:rPr>
        <w:t>% расходов бюджета на 20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44F4" w:rsidRPr="002904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03F5" w:rsidRPr="002904A6">
        <w:rPr>
          <w:rFonts w:ascii="Times New Roman" w:eastAsia="Times New Roman" w:hAnsi="Times New Roman" w:cs="Times New Roman"/>
          <w:sz w:val="28"/>
          <w:szCs w:val="28"/>
        </w:rPr>
        <w:t xml:space="preserve"> год, в том числе:</w:t>
      </w:r>
    </w:p>
    <w:p w:rsidR="00BE03F5" w:rsidRPr="002904A6" w:rsidRDefault="008108E5" w:rsidP="00BE03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Петровского сельского поселения Славянского района от </w:t>
      </w:r>
      <w:r w:rsidR="000544F4" w:rsidRPr="002904A6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>.1</w:t>
      </w:r>
      <w:r w:rsidR="00373CE8" w:rsidRPr="002904A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0544F4" w:rsidRPr="002904A6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 </w:t>
      </w:r>
      <w:r w:rsidR="000544F4" w:rsidRPr="002904A6">
        <w:rPr>
          <w:rFonts w:ascii="Times New Roman" w:eastAsia="Times New Roman" w:hAnsi="Times New Roman" w:cs="Times New Roman"/>
          <w:bCs/>
          <w:sz w:val="28"/>
          <w:szCs w:val="28"/>
        </w:rPr>
        <w:t>262</w:t>
      </w:r>
      <w:r w:rsidR="00373CE8"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Петровского сельского поселения Славянского района на 202</w:t>
      </w:r>
      <w:r w:rsidR="00871103" w:rsidRPr="002904A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73CE8"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 утвержден перечень муниципальных программ на 202</w:t>
      </w:r>
      <w:r w:rsidR="00871103" w:rsidRPr="002904A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73CE8" w:rsidRPr="002904A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год:</w:t>
      </w:r>
    </w:p>
    <w:p w:rsidR="00BE03F5" w:rsidRPr="002904A6" w:rsidRDefault="00BE03F5" w:rsidP="00BE03F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904A6">
        <w:rPr>
          <w:rFonts w:ascii="Times New Roman" w:eastAsia="Times New Roman" w:hAnsi="Times New Roman" w:cs="Times New Roman"/>
        </w:rPr>
        <w:t>(тыс.руб.)</w:t>
      </w:r>
    </w:p>
    <w:tbl>
      <w:tblPr>
        <w:tblW w:w="8613" w:type="dxa"/>
        <w:tblInd w:w="392" w:type="dxa"/>
        <w:tblLayout w:type="fixed"/>
        <w:tblLook w:val="0000"/>
      </w:tblPr>
      <w:tblGrid>
        <w:gridCol w:w="560"/>
        <w:gridCol w:w="4177"/>
        <w:gridCol w:w="1661"/>
        <w:gridCol w:w="2215"/>
      </w:tblGrid>
      <w:tr w:rsidR="002904A6" w:rsidRPr="002904A6" w:rsidTr="00C44B2F">
        <w:trPr>
          <w:trHeight w:val="5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Целевая программа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Предусмотрено в бюджете на 2021 год (собственные средства)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 о принятии</w:t>
            </w:r>
          </w:p>
        </w:tc>
      </w:tr>
      <w:tr w:rsidR="002904A6" w:rsidRPr="002904A6" w:rsidTr="00C44B2F">
        <w:trPr>
          <w:trHeight w:val="1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«Национальная экономика»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2155,770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04A6" w:rsidRPr="002904A6" w:rsidTr="00C44B2F">
        <w:trPr>
          <w:trHeight w:val="7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МП «Энергосбережение и повышение энергетической эффективности»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305,770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постановления 275 от 11.11.2020г</w:t>
            </w:r>
          </w:p>
        </w:tc>
      </w:tr>
      <w:tr w:rsidR="002904A6" w:rsidRPr="002904A6" w:rsidTr="00C44B2F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МП «Комплексное развитие сельских территорий»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1850,00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постановления 274 от 11.11.2020 г</w:t>
            </w:r>
          </w:p>
        </w:tc>
      </w:tr>
      <w:tr w:rsidR="002904A6" w:rsidRPr="002904A6" w:rsidTr="00C44B2F">
        <w:trPr>
          <w:trHeight w:val="10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autoSpaceDE w:val="0"/>
              <w:spacing w:after="0" w:line="322" w:lineRule="exact"/>
              <w:ind w:left="-6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МП « Экономическое развитие и инновационная экономика»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постановления</w:t>
            </w:r>
          </w:p>
        </w:tc>
      </w:tr>
      <w:tr w:rsidR="002904A6" w:rsidRPr="002904A6" w:rsidTr="00C44B2F">
        <w:trPr>
          <w:trHeight w:val="3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C44B2F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2 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0544F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 «Жилищно-коммунальное хозяйство»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1595,000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904A6" w:rsidRPr="002904A6" w:rsidTr="00C44B2F">
        <w:trPr>
          <w:trHeight w:val="10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МП «Формирование современной городской среды»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1595,000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постановления 276 от 11.11.2020 г</w:t>
            </w:r>
          </w:p>
        </w:tc>
      </w:tr>
      <w:tr w:rsidR="002904A6" w:rsidRPr="002904A6" w:rsidTr="00C44B2F">
        <w:trPr>
          <w:trHeight w:val="39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3765,770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1103" w:rsidRPr="002904A6" w:rsidRDefault="00871103" w:rsidP="002C1B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0544F4" w:rsidRPr="002904A6" w:rsidRDefault="000544F4" w:rsidP="009440D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0544F4" w:rsidRPr="002904A6" w:rsidRDefault="000544F4" w:rsidP="009440D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 проекте бюджета на 2021 год в расходы на исполнение мероприятий муниципальных программ включены только средства местного бюджета в сумме </w:t>
      </w:r>
      <w:r w:rsidRPr="002904A6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3765,77 тыс.рублей</w:t>
      </w:r>
      <w:r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9440DA" w:rsidRPr="002904A6" w:rsidRDefault="009440DA" w:rsidP="009440DA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Данные муниципальные программы разработаны в соответствии с Порядком принятия решений о разработке, формировании, реализации и оценки эффективности реализации муниципальных программ Петровского сельского поселения Славянского района, утвержденного Постановлением администрации Петровского сельского поселения Славянского района от </w:t>
      </w:r>
      <w:r w:rsidR="002904A6"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14</w:t>
      </w:r>
      <w:r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.0</w:t>
      </w:r>
      <w:r w:rsidR="002904A6"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</w:t>
      </w:r>
      <w:r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.20</w:t>
      </w:r>
      <w:r w:rsidR="002904A6"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20</w:t>
      </w:r>
      <w:r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№</w:t>
      </w:r>
      <w:r w:rsidR="002904A6"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39</w:t>
      </w:r>
    </w:p>
    <w:p w:rsidR="008850B8" w:rsidRPr="002904A6" w:rsidRDefault="008850B8" w:rsidP="008850B8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Объемы финансового обеспечения муниципальных программ</w:t>
      </w:r>
      <w:r w:rsidR="00466FE3"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в части местных средств</w:t>
      </w:r>
      <w:r w:rsidRPr="002904A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указанных в паспортах соответствуют объемам, указанным в проекте бюджета сельского поселения (ч.2 ст.179 БК РФ).</w:t>
      </w:r>
    </w:p>
    <w:p w:rsidR="002904A6" w:rsidRPr="002904A6" w:rsidRDefault="002904A6" w:rsidP="00373C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E8" w:rsidRPr="002904A6" w:rsidRDefault="00373CE8" w:rsidP="00373CE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4A6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373CE8" w:rsidRPr="002904A6" w:rsidRDefault="00373CE8" w:rsidP="00373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FE3" w:rsidRPr="002904A6" w:rsidRDefault="00466FE3" w:rsidP="00466F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контрольно-счетной палатой использовались методические материалы, документы и сведения, представленные к проекту решения о бюджете и документы составляющие основу формирования бюджета Петровского сельского поселения, программные документы по вопросам экономической и бюджетной политики, действующие нормативно-правовые акты, устанавливающие бюджетные, налоговые и иные правоотношения, оказывающие влияние на формирование бюджета Петровского сельского поселения Славянского района.</w:t>
      </w:r>
    </w:p>
    <w:p w:rsidR="00466FE3" w:rsidRPr="002904A6" w:rsidRDefault="00466FE3" w:rsidP="00373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3CE8" w:rsidRPr="002904A6" w:rsidRDefault="00373CE8" w:rsidP="00373C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>В результате</w:t>
      </w:r>
      <w:r w:rsidR="00177CBF">
        <w:rPr>
          <w:rFonts w:ascii="Times New Roman" w:hAnsi="Times New Roman" w:cs="Times New Roman"/>
          <w:sz w:val="28"/>
          <w:szCs w:val="28"/>
        </w:rPr>
        <w:t>,</w:t>
      </w:r>
      <w:r w:rsidRPr="002904A6">
        <w:rPr>
          <w:rFonts w:ascii="Times New Roman" w:hAnsi="Times New Roman" w:cs="Times New Roman"/>
          <w:sz w:val="28"/>
          <w:szCs w:val="28"/>
        </w:rPr>
        <w:t xml:space="preserve"> проведенной экспертизы проекта решения Совета Петровского сельского поселения Славянского района «О бюджете Петровского сельского поселения Славянского района на 202</w:t>
      </w:r>
      <w:r w:rsidR="00466FE3" w:rsidRPr="002904A6">
        <w:rPr>
          <w:rFonts w:ascii="Times New Roman" w:hAnsi="Times New Roman" w:cs="Times New Roman"/>
          <w:sz w:val="28"/>
          <w:szCs w:val="28"/>
        </w:rPr>
        <w:t>1</w:t>
      </w:r>
      <w:r w:rsidRPr="002904A6">
        <w:rPr>
          <w:rFonts w:ascii="Times New Roman" w:hAnsi="Times New Roman" w:cs="Times New Roman"/>
          <w:sz w:val="28"/>
          <w:szCs w:val="28"/>
        </w:rPr>
        <w:t xml:space="preserve"> год»</w:t>
      </w:r>
      <w:r w:rsidR="00177CBF">
        <w:rPr>
          <w:rFonts w:ascii="Times New Roman" w:hAnsi="Times New Roman" w:cs="Times New Roman"/>
          <w:sz w:val="28"/>
          <w:szCs w:val="28"/>
        </w:rPr>
        <w:t>,</w:t>
      </w:r>
      <w:r w:rsidRPr="002904A6">
        <w:rPr>
          <w:rFonts w:ascii="Times New Roman" w:hAnsi="Times New Roman" w:cs="Times New Roman"/>
          <w:sz w:val="28"/>
          <w:szCs w:val="28"/>
        </w:rPr>
        <w:t xml:space="preserve"> можно сделать выводы:</w:t>
      </w:r>
    </w:p>
    <w:p w:rsidR="00466FE3" w:rsidRPr="002904A6" w:rsidRDefault="00466FE3" w:rsidP="004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>Прогнозируемые доходы бюджета соответствуют перечню видов доходов;   расходы, в рамках имеющейся информации, – расходным обязательствам, принятым в соответствии с полномочиями сельского поселения, что подтверждает соблюдение принципа разграничения доходов, расходов и источников финансирования дефицита бюджета.</w:t>
      </w:r>
    </w:p>
    <w:p w:rsidR="00466FE3" w:rsidRPr="002904A6" w:rsidRDefault="00466FE3" w:rsidP="004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 xml:space="preserve"> При составлении проекта  бюджета реализованы права и исполнены обязанности сельского поселения:</w:t>
      </w:r>
    </w:p>
    <w:p w:rsidR="00466FE3" w:rsidRPr="002904A6" w:rsidRDefault="00466FE3" w:rsidP="004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 xml:space="preserve">  -проект бюджета составлен в соответствии с Положением о бюджетном процессе;</w:t>
      </w:r>
    </w:p>
    <w:p w:rsidR="00466FE3" w:rsidRPr="002904A6" w:rsidRDefault="00466FE3" w:rsidP="0046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lastRenderedPageBreak/>
        <w:t xml:space="preserve"> -налоги и сборы, подлежащие зачислению в бюджет, установлены исходя из норм действующего бюджетного и налогового законодательства с учетом соответствующих изменений и дополнений;</w:t>
      </w:r>
    </w:p>
    <w:p w:rsidR="00177CBF" w:rsidRPr="00177CBF" w:rsidRDefault="00466FE3" w:rsidP="0017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> -</w:t>
      </w:r>
      <w:r w:rsidR="00177CBF">
        <w:rPr>
          <w:rFonts w:ascii="Times New Roman" w:hAnsi="Times New Roman" w:cs="Times New Roman"/>
          <w:sz w:val="28"/>
          <w:szCs w:val="28"/>
        </w:rPr>
        <w:t>о</w:t>
      </w:r>
      <w:r w:rsidR="00177CBF" w:rsidRPr="00177CBF">
        <w:rPr>
          <w:rFonts w:ascii="Times New Roman" w:hAnsi="Times New Roman" w:cs="Times New Roman"/>
          <w:sz w:val="28"/>
          <w:szCs w:val="28"/>
        </w:rPr>
        <w:t xml:space="preserve">бъем предусмотренных бюджетом в 2021 году расходов ниже суммарного объема доходов бюджета в 2021 году,тем самым означает, что бюджет Петровского сельского поселения на 2021 год прогнозируется с профицитом. </w:t>
      </w:r>
    </w:p>
    <w:p w:rsidR="00E22436" w:rsidRPr="002904A6" w:rsidRDefault="00E22436" w:rsidP="00373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CE8" w:rsidRPr="002904A6" w:rsidRDefault="00373CE8" w:rsidP="00373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>Предложенный к рассмотрению проект Решения Совета Петровского сельского поселения Славянского района «О бюджете Петровского сельского поселения Славянского района на 202</w:t>
      </w:r>
      <w:r w:rsidR="00466FE3" w:rsidRPr="002904A6">
        <w:rPr>
          <w:rFonts w:ascii="Times New Roman" w:hAnsi="Times New Roman" w:cs="Times New Roman"/>
          <w:sz w:val="28"/>
          <w:szCs w:val="28"/>
        </w:rPr>
        <w:t>1</w:t>
      </w:r>
      <w:r w:rsidRPr="002904A6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контрольно-счетной палатой муниципального образования Славянский район к рассмотрению и утверждению Советом </w:t>
      </w:r>
      <w:r w:rsidR="00533DB2" w:rsidRPr="002904A6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2904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177CBF" w:rsidRDefault="00177CBF" w:rsidP="00177CB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77CBF" w:rsidRPr="00177CBF" w:rsidRDefault="00177CBF" w:rsidP="00177CB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77CB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процессе составления и рассмотрения проекта бюджета с вносимыми изменениями  в 2021 году осуществить сокращение профицита бюджета за счет увеличения расходной части.</w:t>
      </w:r>
    </w:p>
    <w:p w:rsidR="00533DB2" w:rsidRPr="002904A6" w:rsidRDefault="00533DB2" w:rsidP="00FC408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9E587F" w:rsidRPr="002904A6" w:rsidRDefault="009E587F" w:rsidP="00C66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408F" w:rsidRPr="002904A6" w:rsidRDefault="00346700" w:rsidP="00C66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>Аудитор</w:t>
      </w:r>
    </w:p>
    <w:p w:rsidR="00FB057A" w:rsidRPr="002904A6" w:rsidRDefault="00FC408F" w:rsidP="00C66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FC408F" w:rsidRPr="002904A6" w:rsidRDefault="00FC408F" w:rsidP="00C66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C408F" w:rsidRPr="002904A6" w:rsidRDefault="00FC408F" w:rsidP="00C66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4A6">
        <w:rPr>
          <w:rFonts w:ascii="Times New Roman" w:hAnsi="Times New Roman" w:cs="Times New Roman"/>
          <w:sz w:val="28"/>
          <w:szCs w:val="28"/>
        </w:rPr>
        <w:t xml:space="preserve">Славянский район                                             </w:t>
      </w:r>
      <w:r w:rsidR="00666E23" w:rsidRPr="002904A6">
        <w:rPr>
          <w:rFonts w:ascii="Times New Roman" w:hAnsi="Times New Roman" w:cs="Times New Roman"/>
          <w:sz w:val="28"/>
          <w:szCs w:val="28"/>
        </w:rPr>
        <w:t>С.Н.Канцедайло</w:t>
      </w:r>
    </w:p>
    <w:sectPr w:rsidR="00FC408F" w:rsidRPr="002904A6" w:rsidSect="00A65981"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A45" w:rsidRDefault="00977A45" w:rsidP="00EA6523">
      <w:pPr>
        <w:spacing w:after="0" w:line="240" w:lineRule="auto"/>
      </w:pPr>
      <w:r>
        <w:separator/>
      </w:r>
    </w:p>
  </w:endnote>
  <w:endnote w:type="continuationSeparator" w:id="1">
    <w:p w:rsidR="00977A45" w:rsidRDefault="00977A45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44644"/>
    </w:sdtPr>
    <w:sdtContent>
      <w:p w:rsidR="00851943" w:rsidRDefault="00D8758D">
        <w:pPr>
          <w:pStyle w:val="a8"/>
          <w:jc w:val="center"/>
        </w:pPr>
        <w:r>
          <w:fldChar w:fldCharType="begin"/>
        </w:r>
        <w:r w:rsidR="00851943">
          <w:instrText>PAGE   \* MERGEFORMAT</w:instrText>
        </w:r>
        <w:r>
          <w:fldChar w:fldCharType="separate"/>
        </w:r>
        <w:r w:rsidR="00077A70">
          <w:rPr>
            <w:noProof/>
          </w:rPr>
          <w:t>6</w:t>
        </w:r>
        <w:r>
          <w:fldChar w:fldCharType="end"/>
        </w:r>
      </w:p>
    </w:sdtContent>
  </w:sdt>
  <w:p w:rsidR="00851943" w:rsidRDefault="008519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A45" w:rsidRDefault="00977A45" w:rsidP="00EA6523">
      <w:pPr>
        <w:spacing w:after="0" w:line="240" w:lineRule="auto"/>
      </w:pPr>
      <w:r>
        <w:separator/>
      </w:r>
    </w:p>
  </w:footnote>
  <w:footnote w:type="continuationSeparator" w:id="1">
    <w:p w:rsidR="00977A45" w:rsidRDefault="00977A45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D74"/>
    <w:rsid w:val="00002481"/>
    <w:rsid w:val="00003718"/>
    <w:rsid w:val="000054A4"/>
    <w:rsid w:val="00007FA2"/>
    <w:rsid w:val="0001229C"/>
    <w:rsid w:val="00016660"/>
    <w:rsid w:val="000171B0"/>
    <w:rsid w:val="000173AD"/>
    <w:rsid w:val="00017D58"/>
    <w:rsid w:val="00020BCC"/>
    <w:rsid w:val="00023D85"/>
    <w:rsid w:val="00027456"/>
    <w:rsid w:val="000314D5"/>
    <w:rsid w:val="00032F7B"/>
    <w:rsid w:val="00034861"/>
    <w:rsid w:val="00035D68"/>
    <w:rsid w:val="000376B2"/>
    <w:rsid w:val="000404C1"/>
    <w:rsid w:val="00045FAD"/>
    <w:rsid w:val="00051399"/>
    <w:rsid w:val="00051E55"/>
    <w:rsid w:val="000544F4"/>
    <w:rsid w:val="00060FF0"/>
    <w:rsid w:val="000676B4"/>
    <w:rsid w:val="00070ABF"/>
    <w:rsid w:val="00072F76"/>
    <w:rsid w:val="00077A70"/>
    <w:rsid w:val="0008199B"/>
    <w:rsid w:val="00084D6A"/>
    <w:rsid w:val="00093300"/>
    <w:rsid w:val="00093EBF"/>
    <w:rsid w:val="00095919"/>
    <w:rsid w:val="00095AE2"/>
    <w:rsid w:val="00096098"/>
    <w:rsid w:val="000A0EA3"/>
    <w:rsid w:val="000A357E"/>
    <w:rsid w:val="000A4E80"/>
    <w:rsid w:val="000A5A3C"/>
    <w:rsid w:val="000B08A5"/>
    <w:rsid w:val="000B3C5A"/>
    <w:rsid w:val="000B3CE8"/>
    <w:rsid w:val="000B4A4A"/>
    <w:rsid w:val="000C3BC0"/>
    <w:rsid w:val="000C4017"/>
    <w:rsid w:val="000C44E7"/>
    <w:rsid w:val="000C4625"/>
    <w:rsid w:val="000D1147"/>
    <w:rsid w:val="000D6D20"/>
    <w:rsid w:val="000E18A1"/>
    <w:rsid w:val="000E43C0"/>
    <w:rsid w:val="000E4B9A"/>
    <w:rsid w:val="000E5E39"/>
    <w:rsid w:val="000F364C"/>
    <w:rsid w:val="000F5C4A"/>
    <w:rsid w:val="00100696"/>
    <w:rsid w:val="0011100D"/>
    <w:rsid w:val="0011231E"/>
    <w:rsid w:val="00112BB3"/>
    <w:rsid w:val="001161E4"/>
    <w:rsid w:val="001255CA"/>
    <w:rsid w:val="001269AF"/>
    <w:rsid w:val="00130418"/>
    <w:rsid w:val="00131E43"/>
    <w:rsid w:val="0013301E"/>
    <w:rsid w:val="00136A25"/>
    <w:rsid w:val="00136AD1"/>
    <w:rsid w:val="001401ED"/>
    <w:rsid w:val="001406E4"/>
    <w:rsid w:val="00140D74"/>
    <w:rsid w:val="00141171"/>
    <w:rsid w:val="00144844"/>
    <w:rsid w:val="00146184"/>
    <w:rsid w:val="00146A68"/>
    <w:rsid w:val="0015401B"/>
    <w:rsid w:val="001546E6"/>
    <w:rsid w:val="00157C9C"/>
    <w:rsid w:val="0016039F"/>
    <w:rsid w:val="00165B3E"/>
    <w:rsid w:val="00167AA2"/>
    <w:rsid w:val="00177CBF"/>
    <w:rsid w:val="001809D4"/>
    <w:rsid w:val="001942E3"/>
    <w:rsid w:val="00194CCB"/>
    <w:rsid w:val="001953C1"/>
    <w:rsid w:val="0019693F"/>
    <w:rsid w:val="00197D9C"/>
    <w:rsid w:val="001A3A2C"/>
    <w:rsid w:val="001A472D"/>
    <w:rsid w:val="001B4480"/>
    <w:rsid w:val="001B5257"/>
    <w:rsid w:val="001B7C1A"/>
    <w:rsid w:val="001C4842"/>
    <w:rsid w:val="001E0C41"/>
    <w:rsid w:val="001E2D7B"/>
    <w:rsid w:val="001E2D86"/>
    <w:rsid w:val="001F178F"/>
    <w:rsid w:val="001F68F5"/>
    <w:rsid w:val="00201472"/>
    <w:rsid w:val="002056DD"/>
    <w:rsid w:val="00206654"/>
    <w:rsid w:val="00215BCC"/>
    <w:rsid w:val="00225A4A"/>
    <w:rsid w:val="00227D68"/>
    <w:rsid w:val="00230BF0"/>
    <w:rsid w:val="0023139B"/>
    <w:rsid w:val="00241157"/>
    <w:rsid w:val="00246CE8"/>
    <w:rsid w:val="00261651"/>
    <w:rsid w:val="0026501A"/>
    <w:rsid w:val="002664F1"/>
    <w:rsid w:val="002668C4"/>
    <w:rsid w:val="00280156"/>
    <w:rsid w:val="00284B3A"/>
    <w:rsid w:val="002904A6"/>
    <w:rsid w:val="00294265"/>
    <w:rsid w:val="002972EC"/>
    <w:rsid w:val="002A0594"/>
    <w:rsid w:val="002A5CBE"/>
    <w:rsid w:val="002B29AB"/>
    <w:rsid w:val="002B464C"/>
    <w:rsid w:val="002C1BD9"/>
    <w:rsid w:val="002D0C9E"/>
    <w:rsid w:val="002D4186"/>
    <w:rsid w:val="002D4678"/>
    <w:rsid w:val="002E68E1"/>
    <w:rsid w:val="002E75F0"/>
    <w:rsid w:val="002F4032"/>
    <w:rsid w:val="002F57DB"/>
    <w:rsid w:val="003023E7"/>
    <w:rsid w:val="003027BA"/>
    <w:rsid w:val="00303C9F"/>
    <w:rsid w:val="00312A8D"/>
    <w:rsid w:val="003152A4"/>
    <w:rsid w:val="003164B5"/>
    <w:rsid w:val="0032022A"/>
    <w:rsid w:val="00321C41"/>
    <w:rsid w:val="00324469"/>
    <w:rsid w:val="00331DB8"/>
    <w:rsid w:val="003339D6"/>
    <w:rsid w:val="00335710"/>
    <w:rsid w:val="003401AF"/>
    <w:rsid w:val="003435B5"/>
    <w:rsid w:val="003450DD"/>
    <w:rsid w:val="00346700"/>
    <w:rsid w:val="003531D8"/>
    <w:rsid w:val="0035502B"/>
    <w:rsid w:val="003561D1"/>
    <w:rsid w:val="00356E36"/>
    <w:rsid w:val="00363C61"/>
    <w:rsid w:val="003657C5"/>
    <w:rsid w:val="00365ED8"/>
    <w:rsid w:val="00373CE8"/>
    <w:rsid w:val="0037699F"/>
    <w:rsid w:val="003815DE"/>
    <w:rsid w:val="00386630"/>
    <w:rsid w:val="003872B8"/>
    <w:rsid w:val="003A5EE5"/>
    <w:rsid w:val="003A76D4"/>
    <w:rsid w:val="003B1858"/>
    <w:rsid w:val="003C2282"/>
    <w:rsid w:val="003C36C4"/>
    <w:rsid w:val="003C4AB5"/>
    <w:rsid w:val="003D255E"/>
    <w:rsid w:val="003D5606"/>
    <w:rsid w:val="003D71BF"/>
    <w:rsid w:val="003E0752"/>
    <w:rsid w:val="003F1473"/>
    <w:rsid w:val="003F22D5"/>
    <w:rsid w:val="003F60D3"/>
    <w:rsid w:val="003F656A"/>
    <w:rsid w:val="003F73A4"/>
    <w:rsid w:val="003F7C68"/>
    <w:rsid w:val="004039CE"/>
    <w:rsid w:val="00403C3C"/>
    <w:rsid w:val="00411497"/>
    <w:rsid w:val="0041221C"/>
    <w:rsid w:val="00413663"/>
    <w:rsid w:val="00415761"/>
    <w:rsid w:val="00416D66"/>
    <w:rsid w:val="00417ACD"/>
    <w:rsid w:val="0042223E"/>
    <w:rsid w:val="00422A34"/>
    <w:rsid w:val="004304A5"/>
    <w:rsid w:val="00430855"/>
    <w:rsid w:val="0043212B"/>
    <w:rsid w:val="00432BDB"/>
    <w:rsid w:val="00435123"/>
    <w:rsid w:val="0044166D"/>
    <w:rsid w:val="00442E01"/>
    <w:rsid w:val="00450789"/>
    <w:rsid w:val="004512BF"/>
    <w:rsid w:val="004524F9"/>
    <w:rsid w:val="004525F8"/>
    <w:rsid w:val="0045609D"/>
    <w:rsid w:val="00460455"/>
    <w:rsid w:val="00463621"/>
    <w:rsid w:val="00466FE3"/>
    <w:rsid w:val="00470244"/>
    <w:rsid w:val="00470E24"/>
    <w:rsid w:val="00472053"/>
    <w:rsid w:val="004739EE"/>
    <w:rsid w:val="00480828"/>
    <w:rsid w:val="0048089F"/>
    <w:rsid w:val="00486946"/>
    <w:rsid w:val="0049185F"/>
    <w:rsid w:val="00492AD2"/>
    <w:rsid w:val="004A0E83"/>
    <w:rsid w:val="004A5382"/>
    <w:rsid w:val="004A5B88"/>
    <w:rsid w:val="004A6393"/>
    <w:rsid w:val="004B51E7"/>
    <w:rsid w:val="004B6578"/>
    <w:rsid w:val="004B7C40"/>
    <w:rsid w:val="004C47C4"/>
    <w:rsid w:val="004C6451"/>
    <w:rsid w:val="004D0A73"/>
    <w:rsid w:val="004D0F93"/>
    <w:rsid w:val="004D1624"/>
    <w:rsid w:val="004D75F6"/>
    <w:rsid w:val="004E6560"/>
    <w:rsid w:val="004F1FC5"/>
    <w:rsid w:val="004F3BCE"/>
    <w:rsid w:val="004F54F4"/>
    <w:rsid w:val="004F797E"/>
    <w:rsid w:val="00501658"/>
    <w:rsid w:val="00505AF6"/>
    <w:rsid w:val="00506E3A"/>
    <w:rsid w:val="0051120C"/>
    <w:rsid w:val="005140C5"/>
    <w:rsid w:val="005147C8"/>
    <w:rsid w:val="0051698E"/>
    <w:rsid w:val="005222A6"/>
    <w:rsid w:val="0052399E"/>
    <w:rsid w:val="00526551"/>
    <w:rsid w:val="00530E5D"/>
    <w:rsid w:val="00533DB2"/>
    <w:rsid w:val="005342F2"/>
    <w:rsid w:val="005378ED"/>
    <w:rsid w:val="00537D1C"/>
    <w:rsid w:val="005531C1"/>
    <w:rsid w:val="00555E23"/>
    <w:rsid w:val="0056015E"/>
    <w:rsid w:val="00560BB8"/>
    <w:rsid w:val="00564E17"/>
    <w:rsid w:val="005716B2"/>
    <w:rsid w:val="00573A68"/>
    <w:rsid w:val="0057546F"/>
    <w:rsid w:val="00593131"/>
    <w:rsid w:val="00597513"/>
    <w:rsid w:val="00597A5E"/>
    <w:rsid w:val="005A57C6"/>
    <w:rsid w:val="005B3798"/>
    <w:rsid w:val="005C18D1"/>
    <w:rsid w:val="005C3EB4"/>
    <w:rsid w:val="005C5FBF"/>
    <w:rsid w:val="005D0148"/>
    <w:rsid w:val="005E4C2E"/>
    <w:rsid w:val="005E71A4"/>
    <w:rsid w:val="005F0F53"/>
    <w:rsid w:val="005F2879"/>
    <w:rsid w:val="00602400"/>
    <w:rsid w:val="006049B4"/>
    <w:rsid w:val="00630476"/>
    <w:rsid w:val="00631BBD"/>
    <w:rsid w:val="00634934"/>
    <w:rsid w:val="00640B2E"/>
    <w:rsid w:val="00641D1C"/>
    <w:rsid w:val="00644BFD"/>
    <w:rsid w:val="00646F53"/>
    <w:rsid w:val="00647998"/>
    <w:rsid w:val="006539C3"/>
    <w:rsid w:val="00655276"/>
    <w:rsid w:val="00657692"/>
    <w:rsid w:val="00660F7D"/>
    <w:rsid w:val="00661010"/>
    <w:rsid w:val="0066427F"/>
    <w:rsid w:val="00666E23"/>
    <w:rsid w:val="006703D2"/>
    <w:rsid w:val="0067366F"/>
    <w:rsid w:val="00674F64"/>
    <w:rsid w:val="0068050B"/>
    <w:rsid w:val="00680C5D"/>
    <w:rsid w:val="00682667"/>
    <w:rsid w:val="00682DB1"/>
    <w:rsid w:val="00683032"/>
    <w:rsid w:val="006853A2"/>
    <w:rsid w:val="00686E78"/>
    <w:rsid w:val="00690154"/>
    <w:rsid w:val="006932C6"/>
    <w:rsid w:val="006A5453"/>
    <w:rsid w:val="006A5945"/>
    <w:rsid w:val="006B13D6"/>
    <w:rsid w:val="006B312E"/>
    <w:rsid w:val="006C14D4"/>
    <w:rsid w:val="006C1A5F"/>
    <w:rsid w:val="006C22AD"/>
    <w:rsid w:val="006C26A7"/>
    <w:rsid w:val="006C51DD"/>
    <w:rsid w:val="006C54F5"/>
    <w:rsid w:val="006C70FA"/>
    <w:rsid w:val="006D07F9"/>
    <w:rsid w:val="006D0AC3"/>
    <w:rsid w:val="006D27D1"/>
    <w:rsid w:val="006D495B"/>
    <w:rsid w:val="006D5865"/>
    <w:rsid w:val="006D5AE7"/>
    <w:rsid w:val="006D5BC0"/>
    <w:rsid w:val="006D7C1D"/>
    <w:rsid w:val="006E3326"/>
    <w:rsid w:val="006F1147"/>
    <w:rsid w:val="006F183F"/>
    <w:rsid w:val="006F5400"/>
    <w:rsid w:val="0070015F"/>
    <w:rsid w:val="007033AB"/>
    <w:rsid w:val="0070659C"/>
    <w:rsid w:val="00706D91"/>
    <w:rsid w:val="007132E7"/>
    <w:rsid w:val="0071620B"/>
    <w:rsid w:val="00723B38"/>
    <w:rsid w:val="00727F44"/>
    <w:rsid w:val="00737368"/>
    <w:rsid w:val="007439BF"/>
    <w:rsid w:val="00747DA0"/>
    <w:rsid w:val="0075551D"/>
    <w:rsid w:val="0075616A"/>
    <w:rsid w:val="0075673D"/>
    <w:rsid w:val="00764BF2"/>
    <w:rsid w:val="00770DC7"/>
    <w:rsid w:val="00774067"/>
    <w:rsid w:val="00774554"/>
    <w:rsid w:val="00776FDD"/>
    <w:rsid w:val="00777831"/>
    <w:rsid w:val="00777E91"/>
    <w:rsid w:val="00781F63"/>
    <w:rsid w:val="0078208D"/>
    <w:rsid w:val="00787339"/>
    <w:rsid w:val="007873C4"/>
    <w:rsid w:val="00787BED"/>
    <w:rsid w:val="00787F56"/>
    <w:rsid w:val="00790141"/>
    <w:rsid w:val="00791130"/>
    <w:rsid w:val="00791A10"/>
    <w:rsid w:val="007A1480"/>
    <w:rsid w:val="007A3BDB"/>
    <w:rsid w:val="007C0038"/>
    <w:rsid w:val="007C2523"/>
    <w:rsid w:val="007C31F2"/>
    <w:rsid w:val="007C663F"/>
    <w:rsid w:val="007D17C7"/>
    <w:rsid w:val="007D3A13"/>
    <w:rsid w:val="007D5C93"/>
    <w:rsid w:val="007D7A0C"/>
    <w:rsid w:val="007E413C"/>
    <w:rsid w:val="007E4414"/>
    <w:rsid w:val="007E63C1"/>
    <w:rsid w:val="007F0109"/>
    <w:rsid w:val="007F1131"/>
    <w:rsid w:val="007F371D"/>
    <w:rsid w:val="007F7307"/>
    <w:rsid w:val="00801058"/>
    <w:rsid w:val="00805097"/>
    <w:rsid w:val="008108E5"/>
    <w:rsid w:val="00813485"/>
    <w:rsid w:val="008136FA"/>
    <w:rsid w:val="00816D3D"/>
    <w:rsid w:val="0082057E"/>
    <w:rsid w:val="008241B7"/>
    <w:rsid w:val="0083035E"/>
    <w:rsid w:val="00830F60"/>
    <w:rsid w:val="00832870"/>
    <w:rsid w:val="008363AA"/>
    <w:rsid w:val="00844F22"/>
    <w:rsid w:val="00847DED"/>
    <w:rsid w:val="00851943"/>
    <w:rsid w:val="00852E53"/>
    <w:rsid w:val="00860816"/>
    <w:rsid w:val="0086226A"/>
    <w:rsid w:val="008673E2"/>
    <w:rsid w:val="0087045E"/>
    <w:rsid w:val="00871103"/>
    <w:rsid w:val="00871BC4"/>
    <w:rsid w:val="0088175B"/>
    <w:rsid w:val="00881D47"/>
    <w:rsid w:val="008850B8"/>
    <w:rsid w:val="00894BBF"/>
    <w:rsid w:val="00895781"/>
    <w:rsid w:val="00896221"/>
    <w:rsid w:val="008A2339"/>
    <w:rsid w:val="008B0023"/>
    <w:rsid w:val="008B418F"/>
    <w:rsid w:val="008B46CF"/>
    <w:rsid w:val="008B6454"/>
    <w:rsid w:val="008C4F6C"/>
    <w:rsid w:val="008C5949"/>
    <w:rsid w:val="008D4042"/>
    <w:rsid w:val="008E1BD8"/>
    <w:rsid w:val="008E4EEA"/>
    <w:rsid w:val="008E5259"/>
    <w:rsid w:val="008E554A"/>
    <w:rsid w:val="008E579E"/>
    <w:rsid w:val="008E7387"/>
    <w:rsid w:val="008F2B28"/>
    <w:rsid w:val="008F3CEF"/>
    <w:rsid w:val="008F4D40"/>
    <w:rsid w:val="008F525E"/>
    <w:rsid w:val="008F61DF"/>
    <w:rsid w:val="008F7453"/>
    <w:rsid w:val="008F7C61"/>
    <w:rsid w:val="00904C55"/>
    <w:rsid w:val="00905E68"/>
    <w:rsid w:val="00906E66"/>
    <w:rsid w:val="009077BB"/>
    <w:rsid w:val="00912F3A"/>
    <w:rsid w:val="00914845"/>
    <w:rsid w:val="00920795"/>
    <w:rsid w:val="00922C11"/>
    <w:rsid w:val="00925DA8"/>
    <w:rsid w:val="0093461F"/>
    <w:rsid w:val="00934AFA"/>
    <w:rsid w:val="009353CE"/>
    <w:rsid w:val="0093714C"/>
    <w:rsid w:val="0094043A"/>
    <w:rsid w:val="0094125C"/>
    <w:rsid w:val="009440DA"/>
    <w:rsid w:val="00944FB2"/>
    <w:rsid w:val="00945395"/>
    <w:rsid w:val="00953ED3"/>
    <w:rsid w:val="00960D13"/>
    <w:rsid w:val="0096461E"/>
    <w:rsid w:val="009770E6"/>
    <w:rsid w:val="00977A45"/>
    <w:rsid w:val="0098056E"/>
    <w:rsid w:val="009806AF"/>
    <w:rsid w:val="00981218"/>
    <w:rsid w:val="00985614"/>
    <w:rsid w:val="00986D49"/>
    <w:rsid w:val="00991E85"/>
    <w:rsid w:val="0099791C"/>
    <w:rsid w:val="00997CE4"/>
    <w:rsid w:val="009A1173"/>
    <w:rsid w:val="009A29E3"/>
    <w:rsid w:val="009A68AD"/>
    <w:rsid w:val="009A7EA1"/>
    <w:rsid w:val="009B4A27"/>
    <w:rsid w:val="009C3A4B"/>
    <w:rsid w:val="009C3D13"/>
    <w:rsid w:val="009C469E"/>
    <w:rsid w:val="009C5491"/>
    <w:rsid w:val="009C6D33"/>
    <w:rsid w:val="009D0480"/>
    <w:rsid w:val="009D076D"/>
    <w:rsid w:val="009D0E8D"/>
    <w:rsid w:val="009D13E8"/>
    <w:rsid w:val="009D1532"/>
    <w:rsid w:val="009D2DA8"/>
    <w:rsid w:val="009D35B8"/>
    <w:rsid w:val="009D568C"/>
    <w:rsid w:val="009D6C60"/>
    <w:rsid w:val="009E0A4A"/>
    <w:rsid w:val="009E24FD"/>
    <w:rsid w:val="009E4EB9"/>
    <w:rsid w:val="009E587F"/>
    <w:rsid w:val="009F1EBB"/>
    <w:rsid w:val="00A018CD"/>
    <w:rsid w:val="00A04A7C"/>
    <w:rsid w:val="00A107CA"/>
    <w:rsid w:val="00A111C1"/>
    <w:rsid w:val="00A11BA7"/>
    <w:rsid w:val="00A2499C"/>
    <w:rsid w:val="00A264A7"/>
    <w:rsid w:val="00A26765"/>
    <w:rsid w:val="00A30506"/>
    <w:rsid w:val="00A3079F"/>
    <w:rsid w:val="00A337EA"/>
    <w:rsid w:val="00A33842"/>
    <w:rsid w:val="00A417C1"/>
    <w:rsid w:val="00A425CF"/>
    <w:rsid w:val="00A431D9"/>
    <w:rsid w:val="00A4506A"/>
    <w:rsid w:val="00A467DA"/>
    <w:rsid w:val="00A46B3D"/>
    <w:rsid w:val="00A47302"/>
    <w:rsid w:val="00A51098"/>
    <w:rsid w:val="00A52821"/>
    <w:rsid w:val="00A544E4"/>
    <w:rsid w:val="00A553B4"/>
    <w:rsid w:val="00A57F44"/>
    <w:rsid w:val="00A61330"/>
    <w:rsid w:val="00A61AE9"/>
    <w:rsid w:val="00A624C8"/>
    <w:rsid w:val="00A65981"/>
    <w:rsid w:val="00A67C80"/>
    <w:rsid w:val="00A715D8"/>
    <w:rsid w:val="00A73020"/>
    <w:rsid w:val="00A83551"/>
    <w:rsid w:val="00A84116"/>
    <w:rsid w:val="00A869F8"/>
    <w:rsid w:val="00A91668"/>
    <w:rsid w:val="00A92916"/>
    <w:rsid w:val="00A940AE"/>
    <w:rsid w:val="00A95E59"/>
    <w:rsid w:val="00A96C99"/>
    <w:rsid w:val="00A97E8D"/>
    <w:rsid w:val="00AA02C2"/>
    <w:rsid w:val="00AA2B9D"/>
    <w:rsid w:val="00AA2EDA"/>
    <w:rsid w:val="00AA3DC4"/>
    <w:rsid w:val="00AA7F8F"/>
    <w:rsid w:val="00AB0361"/>
    <w:rsid w:val="00AB5358"/>
    <w:rsid w:val="00AB7309"/>
    <w:rsid w:val="00AC08E7"/>
    <w:rsid w:val="00AC0EB0"/>
    <w:rsid w:val="00AC226E"/>
    <w:rsid w:val="00AC275E"/>
    <w:rsid w:val="00AD2D9C"/>
    <w:rsid w:val="00AD4656"/>
    <w:rsid w:val="00AD637F"/>
    <w:rsid w:val="00AD6BAA"/>
    <w:rsid w:val="00AD7AC1"/>
    <w:rsid w:val="00AE1C60"/>
    <w:rsid w:val="00AE3B26"/>
    <w:rsid w:val="00AE62B2"/>
    <w:rsid w:val="00AF52C2"/>
    <w:rsid w:val="00AF7384"/>
    <w:rsid w:val="00B040DB"/>
    <w:rsid w:val="00B101F1"/>
    <w:rsid w:val="00B10446"/>
    <w:rsid w:val="00B111E4"/>
    <w:rsid w:val="00B1441E"/>
    <w:rsid w:val="00B14DC5"/>
    <w:rsid w:val="00B17AC0"/>
    <w:rsid w:val="00B20071"/>
    <w:rsid w:val="00B21B42"/>
    <w:rsid w:val="00B22C5D"/>
    <w:rsid w:val="00B3437B"/>
    <w:rsid w:val="00B44C2A"/>
    <w:rsid w:val="00B4543D"/>
    <w:rsid w:val="00B479C1"/>
    <w:rsid w:val="00B50450"/>
    <w:rsid w:val="00B5140B"/>
    <w:rsid w:val="00B5237F"/>
    <w:rsid w:val="00B52F08"/>
    <w:rsid w:val="00B57E14"/>
    <w:rsid w:val="00B609B0"/>
    <w:rsid w:val="00B60F14"/>
    <w:rsid w:val="00B616A9"/>
    <w:rsid w:val="00B6608F"/>
    <w:rsid w:val="00B7103F"/>
    <w:rsid w:val="00B73F81"/>
    <w:rsid w:val="00B771D6"/>
    <w:rsid w:val="00B904E8"/>
    <w:rsid w:val="00B905AE"/>
    <w:rsid w:val="00B94BDD"/>
    <w:rsid w:val="00BA153F"/>
    <w:rsid w:val="00BA34FE"/>
    <w:rsid w:val="00BB1550"/>
    <w:rsid w:val="00BB1668"/>
    <w:rsid w:val="00BB21CF"/>
    <w:rsid w:val="00BB24E0"/>
    <w:rsid w:val="00BC3466"/>
    <w:rsid w:val="00BC7F6C"/>
    <w:rsid w:val="00BD15D4"/>
    <w:rsid w:val="00BD4464"/>
    <w:rsid w:val="00BD5E09"/>
    <w:rsid w:val="00BD7107"/>
    <w:rsid w:val="00BD7245"/>
    <w:rsid w:val="00BE03F5"/>
    <w:rsid w:val="00BE0FBA"/>
    <w:rsid w:val="00BF3780"/>
    <w:rsid w:val="00BF3D9E"/>
    <w:rsid w:val="00BF5746"/>
    <w:rsid w:val="00BF5B40"/>
    <w:rsid w:val="00C10167"/>
    <w:rsid w:val="00C12393"/>
    <w:rsid w:val="00C15121"/>
    <w:rsid w:val="00C152F5"/>
    <w:rsid w:val="00C15FEE"/>
    <w:rsid w:val="00C1647C"/>
    <w:rsid w:val="00C1703F"/>
    <w:rsid w:val="00C17905"/>
    <w:rsid w:val="00C17CC5"/>
    <w:rsid w:val="00C31B91"/>
    <w:rsid w:val="00C343EB"/>
    <w:rsid w:val="00C35EC5"/>
    <w:rsid w:val="00C363DE"/>
    <w:rsid w:val="00C4047C"/>
    <w:rsid w:val="00C44B2F"/>
    <w:rsid w:val="00C4678F"/>
    <w:rsid w:val="00C472AA"/>
    <w:rsid w:val="00C47E12"/>
    <w:rsid w:val="00C50E32"/>
    <w:rsid w:val="00C5221A"/>
    <w:rsid w:val="00C523B9"/>
    <w:rsid w:val="00C554E4"/>
    <w:rsid w:val="00C663B8"/>
    <w:rsid w:val="00C66D80"/>
    <w:rsid w:val="00C67859"/>
    <w:rsid w:val="00C7131C"/>
    <w:rsid w:val="00C73EA9"/>
    <w:rsid w:val="00C8709D"/>
    <w:rsid w:val="00C92854"/>
    <w:rsid w:val="00C95D0A"/>
    <w:rsid w:val="00C96400"/>
    <w:rsid w:val="00C96B22"/>
    <w:rsid w:val="00CA09CF"/>
    <w:rsid w:val="00CA1092"/>
    <w:rsid w:val="00CA26D4"/>
    <w:rsid w:val="00CB1BE4"/>
    <w:rsid w:val="00CB280E"/>
    <w:rsid w:val="00CB4262"/>
    <w:rsid w:val="00CB5D05"/>
    <w:rsid w:val="00CB7C7C"/>
    <w:rsid w:val="00CC0DBB"/>
    <w:rsid w:val="00CC2AE0"/>
    <w:rsid w:val="00CC4744"/>
    <w:rsid w:val="00CC7AF1"/>
    <w:rsid w:val="00CD0B6F"/>
    <w:rsid w:val="00CD4F9B"/>
    <w:rsid w:val="00CD503C"/>
    <w:rsid w:val="00CD596A"/>
    <w:rsid w:val="00CD71EB"/>
    <w:rsid w:val="00CE3077"/>
    <w:rsid w:val="00CE5ED4"/>
    <w:rsid w:val="00CF5338"/>
    <w:rsid w:val="00D01C5B"/>
    <w:rsid w:val="00D05320"/>
    <w:rsid w:val="00D05D57"/>
    <w:rsid w:val="00D10405"/>
    <w:rsid w:val="00D1068E"/>
    <w:rsid w:val="00D119CA"/>
    <w:rsid w:val="00D14A74"/>
    <w:rsid w:val="00D16475"/>
    <w:rsid w:val="00D21B28"/>
    <w:rsid w:val="00D25198"/>
    <w:rsid w:val="00D25B6D"/>
    <w:rsid w:val="00D317B2"/>
    <w:rsid w:val="00D3544D"/>
    <w:rsid w:val="00D35EC7"/>
    <w:rsid w:val="00D4755C"/>
    <w:rsid w:val="00D47D10"/>
    <w:rsid w:val="00D5008B"/>
    <w:rsid w:val="00D530A4"/>
    <w:rsid w:val="00D535B1"/>
    <w:rsid w:val="00D53D00"/>
    <w:rsid w:val="00D54144"/>
    <w:rsid w:val="00D557AC"/>
    <w:rsid w:val="00D639E0"/>
    <w:rsid w:val="00D63E42"/>
    <w:rsid w:val="00D673EE"/>
    <w:rsid w:val="00D70149"/>
    <w:rsid w:val="00D71EE7"/>
    <w:rsid w:val="00D74EDD"/>
    <w:rsid w:val="00D76014"/>
    <w:rsid w:val="00D766CB"/>
    <w:rsid w:val="00D8132A"/>
    <w:rsid w:val="00D8148E"/>
    <w:rsid w:val="00D82655"/>
    <w:rsid w:val="00D8301C"/>
    <w:rsid w:val="00D8758D"/>
    <w:rsid w:val="00D90E4B"/>
    <w:rsid w:val="00D9351B"/>
    <w:rsid w:val="00D972D2"/>
    <w:rsid w:val="00DA5C17"/>
    <w:rsid w:val="00DB3892"/>
    <w:rsid w:val="00DB4912"/>
    <w:rsid w:val="00DC107C"/>
    <w:rsid w:val="00DC151D"/>
    <w:rsid w:val="00DC4762"/>
    <w:rsid w:val="00DC672D"/>
    <w:rsid w:val="00DD040C"/>
    <w:rsid w:val="00DD19FB"/>
    <w:rsid w:val="00DD45FE"/>
    <w:rsid w:val="00DD7E53"/>
    <w:rsid w:val="00DE554C"/>
    <w:rsid w:val="00DF0A9D"/>
    <w:rsid w:val="00DF69B7"/>
    <w:rsid w:val="00E041F5"/>
    <w:rsid w:val="00E05941"/>
    <w:rsid w:val="00E05D5B"/>
    <w:rsid w:val="00E073D4"/>
    <w:rsid w:val="00E07B36"/>
    <w:rsid w:val="00E10FB3"/>
    <w:rsid w:val="00E127B7"/>
    <w:rsid w:val="00E213C0"/>
    <w:rsid w:val="00E21DD7"/>
    <w:rsid w:val="00E22436"/>
    <w:rsid w:val="00E310C0"/>
    <w:rsid w:val="00E37D3B"/>
    <w:rsid w:val="00E42B6C"/>
    <w:rsid w:val="00E50C02"/>
    <w:rsid w:val="00E50C47"/>
    <w:rsid w:val="00E5202B"/>
    <w:rsid w:val="00E53C0A"/>
    <w:rsid w:val="00E57B5E"/>
    <w:rsid w:val="00E62188"/>
    <w:rsid w:val="00E67B68"/>
    <w:rsid w:val="00E70E48"/>
    <w:rsid w:val="00E74BC1"/>
    <w:rsid w:val="00E75A43"/>
    <w:rsid w:val="00E7701F"/>
    <w:rsid w:val="00E8075B"/>
    <w:rsid w:val="00E82679"/>
    <w:rsid w:val="00E84A31"/>
    <w:rsid w:val="00E8747F"/>
    <w:rsid w:val="00EA2F50"/>
    <w:rsid w:val="00EA4D82"/>
    <w:rsid w:val="00EA6523"/>
    <w:rsid w:val="00EA671A"/>
    <w:rsid w:val="00EB0265"/>
    <w:rsid w:val="00EB5679"/>
    <w:rsid w:val="00EB7013"/>
    <w:rsid w:val="00ED2881"/>
    <w:rsid w:val="00ED512C"/>
    <w:rsid w:val="00ED61B8"/>
    <w:rsid w:val="00ED6C98"/>
    <w:rsid w:val="00ED6DFE"/>
    <w:rsid w:val="00ED7E7B"/>
    <w:rsid w:val="00EF1033"/>
    <w:rsid w:val="00EF1CCA"/>
    <w:rsid w:val="00EF313F"/>
    <w:rsid w:val="00F0269B"/>
    <w:rsid w:val="00F05F52"/>
    <w:rsid w:val="00F07A40"/>
    <w:rsid w:val="00F12D48"/>
    <w:rsid w:val="00F200A9"/>
    <w:rsid w:val="00F2097B"/>
    <w:rsid w:val="00F21C8B"/>
    <w:rsid w:val="00F2277E"/>
    <w:rsid w:val="00F27DD7"/>
    <w:rsid w:val="00F32869"/>
    <w:rsid w:val="00F3297D"/>
    <w:rsid w:val="00F3727C"/>
    <w:rsid w:val="00F4059F"/>
    <w:rsid w:val="00F40C85"/>
    <w:rsid w:val="00F40EDB"/>
    <w:rsid w:val="00F50970"/>
    <w:rsid w:val="00F51272"/>
    <w:rsid w:val="00F5193C"/>
    <w:rsid w:val="00F52654"/>
    <w:rsid w:val="00F53ACC"/>
    <w:rsid w:val="00F55D72"/>
    <w:rsid w:val="00F56908"/>
    <w:rsid w:val="00F64E4A"/>
    <w:rsid w:val="00F66594"/>
    <w:rsid w:val="00F66E59"/>
    <w:rsid w:val="00F7047D"/>
    <w:rsid w:val="00F720AD"/>
    <w:rsid w:val="00F721E6"/>
    <w:rsid w:val="00F7390C"/>
    <w:rsid w:val="00F77525"/>
    <w:rsid w:val="00F90AC3"/>
    <w:rsid w:val="00F920B5"/>
    <w:rsid w:val="00F9262F"/>
    <w:rsid w:val="00F933B8"/>
    <w:rsid w:val="00F94448"/>
    <w:rsid w:val="00F96055"/>
    <w:rsid w:val="00FA5F50"/>
    <w:rsid w:val="00FB057A"/>
    <w:rsid w:val="00FB2DF2"/>
    <w:rsid w:val="00FB4ED0"/>
    <w:rsid w:val="00FC0FFD"/>
    <w:rsid w:val="00FC408F"/>
    <w:rsid w:val="00FD6267"/>
    <w:rsid w:val="00FE102C"/>
    <w:rsid w:val="00FE2E73"/>
    <w:rsid w:val="00FE2FFE"/>
    <w:rsid w:val="00FE4482"/>
    <w:rsid w:val="00FF0F1B"/>
    <w:rsid w:val="00FF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3921450151057476E-2"/>
          <c:y val="0.13020833333333343"/>
          <c:w val="0.82182907965970653"/>
          <c:h val="0.760416666666666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>
                <c:manualLayout>
                  <c:x val="7.4345563786835239E-2"/>
                  <c:y val="-0.1456697014435695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 74,9%; 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BD9-44D6-9851-7BC6D6D5AB3F}"/>
                </c:ext>
              </c:extLst>
            </c:dLbl>
            <c:dLbl>
              <c:idx val="1"/>
              <c:layout>
                <c:manualLayout>
                  <c:x val="-4.9592730541802951E-2"/>
                  <c:y val="8.989747375328091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неналоговые доходы 2,3%; 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BD9-44D6-9851-7BC6D6D5AB3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безвозмездные поступления   22,8</a:t>
                    </a:r>
                  </a:p>
                  <a:p>
                    <a:r>
                      <a:rPr lang="ru-RU"/>
                      <a:t>%; 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BD9-44D6-9851-7BC6D6D5AB3F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CatName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 74,9%</c:v>
                </c:pt>
                <c:pt idx="1">
                  <c:v>неналоговые доходы 2,3%</c:v>
                </c:pt>
                <c:pt idx="2">
                  <c:v>безвозмездные поступления 22,8%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74.900000000000006</c:v>
                </c:pt>
                <c:pt idx="1">
                  <c:v>2.2999999999999998</c:v>
                </c:pt>
                <c:pt idx="2">
                  <c:v>22.8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BD9-44D6-9851-7BC6D6D5AB3F}"/>
            </c:ext>
          </c:extLst>
        </c:ser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40,4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8FF-4277-8BED-EAFABB346984}"/>
                </c:ext>
              </c:extLst>
            </c:dLbl>
            <c:dLbl>
              <c:idx val="1"/>
              <c:layout>
                <c:manualLayout>
                  <c:x val="3.2172045032292311E-2"/>
                  <c:y val="-1.3399942013062321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8FF-4277-8BED-EAFABB346984}"/>
                </c:ext>
              </c:extLst>
            </c:dLbl>
            <c:dLbl>
              <c:idx val="2"/>
              <c:layout>
                <c:manualLayout>
                  <c:x val="-5.0733673213601137E-2"/>
                  <c:y val="3.38098181041323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0,5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18FF-4277-8BED-EAFABB34698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8FF-4277-8BED-EAFABB346984}"/>
                </c:ext>
              </c:extLst>
            </c:dLbl>
            <c:dLbl>
              <c:idx val="4"/>
              <c:layout>
                <c:manualLayout>
                  <c:x val="1.7433240437641918E-2"/>
                  <c:y val="2.62615020142831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9,8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18FF-4277-8BED-EAFABB346984}"/>
                </c:ext>
              </c:extLst>
            </c:dLbl>
            <c:dLbl>
              <c:idx val="5"/>
              <c:layout>
                <c:manualLayout>
                  <c:x val="1.2364434958270665E-2"/>
                  <c:y val="-4.387646493316243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8FF-4277-8BED-EAFABB34698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24,1</a:t>
                    </a:r>
                  </a:p>
                  <a:p>
                    <a:r>
                      <a:rPr lang="en-US"/>
                      <a:t> 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18FF-4277-8BED-EAFABB346984}"/>
                </c:ext>
              </c:extLst>
            </c:dLbl>
            <c:dLbl>
              <c:idx val="7"/>
              <c:layout>
                <c:manualLayout>
                  <c:x val="-1.2409959171770192E-2"/>
                  <c:y val="-1.8216472940882402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0,6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8FF-4277-8BED-EAFABB346984}"/>
                </c:ext>
              </c:extLst>
            </c:dLbl>
            <c:dLbl>
              <c:idx val="8"/>
              <c:layout>
                <c:manualLayout>
                  <c:x val="1.3910576838007617E-2"/>
                  <c:y val="-9.54357222425685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  <a:p>
                    <a:r>
                      <a:rPr lang="en-US"/>
                      <a:t> 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18FF-4277-8BED-EAFABB346984}"/>
                </c:ext>
              </c:extLst>
            </c:dLbl>
            <c:dLbl>
              <c:idx val="9"/>
              <c:layout>
                <c:manualLayout>
                  <c:x val="7.8256049278952466E-2"/>
                  <c:y val="-2.56532590947933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0,4 %</a:t>
                    </a:r>
                  </a:p>
                </c:rich>
              </c:tx>
              <c:showVal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18FF-4277-8BED-EAFABB346984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воросы 45,6%</c:v>
                </c:pt>
                <c:pt idx="1">
                  <c:v>национальная оборона 1,0%</c:v>
                </c:pt>
                <c:pt idx="2">
                  <c:v>национальная безопасность 0,1%</c:v>
                </c:pt>
                <c:pt idx="3">
                  <c:v>национальная экономика 21,1%</c:v>
                </c:pt>
                <c:pt idx="4">
                  <c:v>жкх 10,2%</c:v>
                </c:pt>
                <c:pt idx="5">
                  <c:v>образование 0,1%</c:v>
                </c:pt>
                <c:pt idx="6">
                  <c:v>культура 20,9%</c:v>
                </c:pt>
                <c:pt idx="7">
                  <c:v>социальная политика 0,6%</c:v>
                </c:pt>
                <c:pt idx="8">
                  <c:v>фк и спорт 0,1%</c:v>
                </c:pt>
                <c:pt idx="9">
                  <c:v>обслуживание муниц.долга 0,3%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45.6</c:v>
                </c:pt>
                <c:pt idx="1">
                  <c:v>1</c:v>
                </c:pt>
                <c:pt idx="2">
                  <c:v>0.1</c:v>
                </c:pt>
                <c:pt idx="3">
                  <c:v>21.1</c:v>
                </c:pt>
                <c:pt idx="4">
                  <c:v>10.200000000000001</c:v>
                </c:pt>
                <c:pt idx="5">
                  <c:v>0.1</c:v>
                </c:pt>
                <c:pt idx="6">
                  <c:v>20.9</c:v>
                </c:pt>
                <c:pt idx="7">
                  <c:v>0.6000000000000002</c:v>
                </c:pt>
                <c:pt idx="8">
                  <c:v>0.1</c:v>
                </c:pt>
                <c:pt idx="9">
                  <c:v>0.3000000000000001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8FF-4277-8BED-EAFABB346984}"/>
            </c:ext>
          </c:extLst>
        </c:ser>
      </c:pie3DChart>
    </c:plotArea>
    <c:legend>
      <c:legendPos val="r"/>
      <c:layout>
        <c:manualLayout>
          <c:xMode val="edge"/>
          <c:yMode val="edge"/>
          <c:x val="0.65178098899357173"/>
          <c:y val="0.13983243041695004"/>
          <c:w val="0.33457179162737738"/>
          <c:h val="0.66177216233665981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3B14-EFFC-4F21-8533-0F17DA23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8638</TotalTime>
  <Pages>1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281</cp:revision>
  <cp:lastPrinted>2020-11-27T12:40:00Z</cp:lastPrinted>
  <dcterms:created xsi:type="dcterms:W3CDTF">2012-11-22T13:49:00Z</dcterms:created>
  <dcterms:modified xsi:type="dcterms:W3CDTF">2020-12-09T07:59:00Z</dcterms:modified>
</cp:coreProperties>
</file>