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33" w:rsidRDefault="00C721C7" w:rsidP="00316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проведенной экспертизе проекта бюджета на 20</w:t>
      </w:r>
      <w:r w:rsidR="00127750">
        <w:rPr>
          <w:rFonts w:ascii="Times New Roman" w:hAnsi="Times New Roman"/>
          <w:b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9 год по Славянскому городскому поселению</w:t>
      </w:r>
    </w:p>
    <w:p w:rsidR="00C721C7" w:rsidRDefault="00C721C7" w:rsidP="003164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433" w:rsidRDefault="00C721C7" w:rsidP="00C721C7">
      <w:pPr>
        <w:tabs>
          <w:tab w:val="left" w:pos="8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22.11.2019</w:t>
      </w:r>
    </w:p>
    <w:p w:rsidR="00316433" w:rsidRDefault="00316433" w:rsidP="00316433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A2140" w:rsidRDefault="000A2140" w:rsidP="000A2140">
      <w:pPr>
        <w:pStyle w:val="ac"/>
        <w:widowControl w:val="0"/>
        <w:tabs>
          <w:tab w:val="left" w:pos="1418"/>
          <w:tab w:val="left" w:pos="3686"/>
        </w:tabs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Заключение контрольно-счетной палаты муниципального образования Славянский район «О бюджете Славянского городского поселения Славянского района на 2019 год»  подготовлено  на основании  гл.26 Бюджетного кодекса Российской Федерации (далее – БК РФ</w:t>
      </w:r>
      <w:r>
        <w:rPr>
          <w:sz w:val="28"/>
          <w:szCs w:val="28"/>
        </w:rPr>
        <w:t xml:space="preserve">), </w:t>
      </w:r>
      <w:r>
        <w:rPr>
          <w:rStyle w:val="FontStyle11"/>
          <w:sz w:val="28"/>
          <w:szCs w:val="28"/>
        </w:rPr>
        <w:t xml:space="preserve"> п. 1 ст. 17.1 Федерального закона от 06.10.2003 № 131-ФЗ «Об общих принципах организации местного самоупра</w:t>
      </w:r>
      <w:r>
        <w:rPr>
          <w:rStyle w:val="FontStyle11"/>
          <w:sz w:val="28"/>
          <w:szCs w:val="28"/>
        </w:rPr>
        <w:t>в</w:t>
      </w:r>
      <w:r>
        <w:rPr>
          <w:rStyle w:val="FontStyle11"/>
          <w:sz w:val="28"/>
          <w:szCs w:val="28"/>
        </w:rPr>
        <w:t xml:space="preserve">ления в Российской Федерации», </w:t>
      </w:r>
      <w:r>
        <w:rPr>
          <w:b w:val="0"/>
          <w:sz w:val="28"/>
          <w:szCs w:val="28"/>
        </w:rPr>
        <w:t>п.2 ст.9 Федерального закона № 6-ФЗ от 07.02.2011 «Об общих принципах организации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и деятельности контрольно-счетных органов субъектов Российской Федерации и муниципальных образов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ний», пункта 3 статьи 22 Закона Краснодарского</w:t>
      </w:r>
      <w:r w:rsidR="00F55C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края от 04.02.2002 №437-КЗ «О бюджетном процессе в Краснодарском крае», статьи 2</w:t>
      </w:r>
      <w:r w:rsidR="00F55C0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«Положения о бю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жетном процессе в Славянском городском поселении», Положения о контрол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но-счетной палате муниципального образования Славянский район,  заключе</w:t>
      </w:r>
      <w:r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ного соглашения №15 от 22.12.2017 года на основании решения двадцать дев</w:t>
      </w:r>
      <w:r>
        <w:rPr>
          <w:b w:val="0"/>
          <w:sz w:val="28"/>
          <w:szCs w:val="28"/>
        </w:rPr>
        <w:t>я</w:t>
      </w:r>
      <w:r>
        <w:rPr>
          <w:b w:val="0"/>
          <w:sz w:val="28"/>
          <w:szCs w:val="28"/>
        </w:rPr>
        <w:t>той сессии Совета муниципального образования Славянский</w:t>
      </w:r>
      <w:proofErr w:type="gramEnd"/>
      <w:r>
        <w:rPr>
          <w:b w:val="0"/>
          <w:sz w:val="28"/>
          <w:szCs w:val="28"/>
        </w:rPr>
        <w:t xml:space="preserve"> район от</w:t>
      </w:r>
      <w:r w:rsidR="00F55C0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20.12.2017 №19 «О принятии </w:t>
      </w:r>
      <w:proofErr w:type="spellStart"/>
      <w:r>
        <w:rPr>
          <w:b w:val="0"/>
          <w:sz w:val="28"/>
          <w:szCs w:val="28"/>
        </w:rPr>
        <w:t>контрольно</w:t>
      </w:r>
      <w:proofErr w:type="spellEnd"/>
      <w:r>
        <w:rPr>
          <w:b w:val="0"/>
          <w:sz w:val="28"/>
          <w:szCs w:val="28"/>
        </w:rPr>
        <w:t xml:space="preserve"> – счетной палатой муниципального образования Славянский район  полномочий контрольно-счетного органа м</w:t>
      </w:r>
      <w:r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ниципальных образований городского и сельских поселений Славянского рай</w:t>
      </w:r>
      <w:r>
        <w:rPr>
          <w:b w:val="0"/>
          <w:sz w:val="28"/>
          <w:szCs w:val="28"/>
        </w:rPr>
        <w:t>о</w:t>
      </w:r>
      <w:proofErr w:type="gramStart"/>
      <w:r>
        <w:rPr>
          <w:b w:val="0"/>
          <w:sz w:val="28"/>
          <w:szCs w:val="28"/>
        </w:rPr>
        <w:t>на</w:t>
      </w:r>
      <w:proofErr w:type="gram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по</w:t>
      </w:r>
      <w:proofErr w:type="gramEnd"/>
      <w:r>
        <w:rPr>
          <w:b w:val="0"/>
          <w:sz w:val="28"/>
          <w:szCs w:val="28"/>
        </w:rPr>
        <w:t xml:space="preserve"> осуществлению внешнего муниципального финансового контроля», ра</w:t>
      </w:r>
      <w:r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поряжения контрольно-счетной палаты от 29.10.2018 №22-э «О проведении экспертизы проектов бюджета муниципального образования Славянский район, сельских (городского) поселений Славянского района на текущий 2019 год и плановый период 2020-2021 годов».</w:t>
      </w:r>
    </w:p>
    <w:p w:rsidR="000A2140" w:rsidRDefault="000A2140" w:rsidP="000A214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0A2140" w:rsidRDefault="000A2140" w:rsidP="000A2140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Целью проведения экспертизы «О бюджете Славянского городского п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селения Славянского района на 2019 год» (далее - Проект бюджета) являлось определение достоверности и обоснованности показателей формирования пр</w:t>
      </w:r>
      <w:r>
        <w:rPr>
          <w:rFonts w:ascii="Times New Roman" w:hAnsi="Times New Roman" w:cs="Times New Roman"/>
          <w:snapToGrid w:val="0"/>
          <w:sz w:val="28"/>
          <w:szCs w:val="28"/>
        </w:rPr>
        <w:t>о</w:t>
      </w:r>
      <w:r>
        <w:rPr>
          <w:rFonts w:ascii="Times New Roman" w:hAnsi="Times New Roman" w:cs="Times New Roman"/>
          <w:snapToGrid w:val="0"/>
          <w:sz w:val="28"/>
          <w:szCs w:val="28"/>
        </w:rPr>
        <w:t>екта бюджета города, в том числе:</w:t>
      </w:r>
    </w:p>
    <w:p w:rsidR="000A2140" w:rsidRDefault="000A2140" w:rsidP="000A2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нормативных правовых актов, используемых при расчетах по статьям кла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сификации доходов бюджета;</w:t>
      </w:r>
    </w:p>
    <w:p w:rsidR="000A2140" w:rsidRDefault="000A2140" w:rsidP="000A2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делов функциональной классификации расходов и главных распорядителей бюджетных средств, наличие и соблюдение нормативных правовых актов, и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пользуемых при расчетах расходов бюджета;</w:t>
      </w:r>
    </w:p>
    <w:p w:rsidR="000A2140" w:rsidRDefault="000A2140" w:rsidP="000A2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0A2140" w:rsidRDefault="000A2140" w:rsidP="00316433">
      <w:pPr>
        <w:pStyle w:val="ConsNormal"/>
        <w:widowControl/>
        <w:tabs>
          <w:tab w:val="left" w:pos="18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16433" w:rsidRPr="001B5C74" w:rsidRDefault="00316433" w:rsidP="000A2140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C74"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мероприятия:</w:t>
      </w:r>
    </w:p>
    <w:p w:rsidR="00316433" w:rsidRDefault="00316433" w:rsidP="000A21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 решения «О бюджете Славянского городского поселения Славя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ского района на 2019 год»</w:t>
      </w:r>
      <w:r w:rsidR="00F55C00">
        <w:rPr>
          <w:rFonts w:ascii="Times New Roman" w:hAnsi="Times New Roman" w:cs="Times New Roman"/>
          <w:color w:val="000000"/>
          <w:sz w:val="28"/>
          <w:szCs w:val="28"/>
        </w:rPr>
        <w:t xml:space="preserve"> (далее Проект бюджета)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Совет Сл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вянского городского поселения  с соблюдением срока, предусмотренным  Бю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жетным кодексом Российской Федерации и Положением о бюджетном проце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се в Славянском городском поселении Славянского района.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решения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бюджете Славянского городского поселения Славянского района на 2019 год»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ст. 184.2 БК РФ, Положению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о бюджетном процессе в Славянском городском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селении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части полноты, представленных одновременно с проектом решения документов и материалов.</w:t>
      </w:r>
    </w:p>
    <w:p w:rsidR="00566C69" w:rsidRDefault="00566C69" w:rsidP="00566C69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Проекта бюджета соблюден принцип сбалансированн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бюджета в соответствии со ст. 33 БК РФ.</w:t>
      </w:r>
    </w:p>
    <w:p w:rsidR="00566C69" w:rsidRDefault="00566C69" w:rsidP="00566C69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Проекте бюджета коды бюджетной классификации доходов, расходов, источников финансирования дефицита бюджета сгруппированы в соответствии с Приказом Минфина России от 08.06.2018 №132н «О Порядке формирования и применения кодов бюджетной классификации Российской Федерации, их структуре и принципах назначения» во исполнение ст. 29 БК РФ.</w:t>
      </w:r>
    </w:p>
    <w:p w:rsidR="00566C69" w:rsidRDefault="00566C69" w:rsidP="00566C69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Проекте бюджета предусмотрены бюджетные ассигнования на испо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нение публичных нормативных обязательств в соответствии с </w:t>
      </w:r>
      <w:proofErr w:type="spellStart"/>
      <w:r>
        <w:rPr>
          <w:color w:val="000000"/>
          <w:sz w:val="28"/>
          <w:szCs w:val="28"/>
        </w:rPr>
        <w:t>абз</w:t>
      </w:r>
      <w:proofErr w:type="spellEnd"/>
      <w:r>
        <w:rPr>
          <w:color w:val="000000"/>
          <w:sz w:val="28"/>
          <w:szCs w:val="28"/>
        </w:rPr>
        <w:t>. 2 п. 2 ст. 74.1 БК РФ.</w:t>
      </w:r>
    </w:p>
    <w:p w:rsidR="00566C69" w:rsidRDefault="00566C69" w:rsidP="00566C69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Предельный объем муниципального долга Славянского городского пос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ления предусмотрен в Проекте бюджета в соответствии с ограничениями,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новленными абз.1 п. 3 ст. 107 БК РФ.</w:t>
      </w:r>
    </w:p>
    <w:p w:rsidR="00566C69" w:rsidRDefault="00566C69" w:rsidP="00566C69">
      <w:pPr>
        <w:pStyle w:val="ab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Предельный объем муниципальных заимствований, утверждаемых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граммой муниципальных внутренних заимствований в составе Проекта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та в соответствии с п. 1 ст. 110.1 БК РФ, не превышает сумму, направляемую на финансирование дефицита бюджета и (или) погашение долговых обязательств по Славянскому   городскому поселению в соответствии со ст. 106 БК РФ.</w:t>
      </w:r>
    </w:p>
    <w:p w:rsidR="00566C69" w:rsidRDefault="00566C69" w:rsidP="0056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утвержден перечень главных администраторов доходов бюджета города, источники внутреннего финансирования дефицита бюджета города.</w:t>
      </w:r>
    </w:p>
    <w:p w:rsidR="00566C69" w:rsidRDefault="00566C69" w:rsidP="0056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 же статьей 27 Проекта бюджета установлена возможность предоста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 субсидий юридическим лицам (за исключением субсидий государстве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ным (муниципальным) учреждениям), индивидуальным предпринимателям и физическим лицам - производителям товаров, работ, услуг  в целях возмещения затрат или недополученных доходов в связи с производством (реализацией)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варов, выполнением работ, оказанием услуг на безвозмездной и безвозвратной основе.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мателей и физических лиц - производителей товаров, работ, услуг, имеющих право на получение субсидий, цели, порядок и условия их предоставления,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рядок возврата субсидий в случае нарушения условий, установленных при их предоставлении, установлены правовыми актами администрации Славянского городского поселения Славянского района.</w:t>
      </w:r>
      <w:proofErr w:type="gramEnd"/>
    </w:p>
    <w:p w:rsidR="00566C69" w:rsidRDefault="00566C69" w:rsidP="0056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156C" w:rsidRDefault="00EF156C" w:rsidP="00EF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Дефицит бюджета Славянского городского поселения  на 2019 год не</w:t>
      </w:r>
      <w:r>
        <w:rPr>
          <w:rFonts w:ascii="Times New Roman" w:hAnsi="Times New Roman" w:cs="Times New Roman"/>
          <w:sz w:val="28"/>
          <w:szCs w:val="28"/>
        </w:rPr>
        <w:t xml:space="preserve"> превышает установленные п. 3 ст. 92.1. БК РФ ограничение и составит 0,0 тыс. рублей. </w:t>
      </w:r>
    </w:p>
    <w:p w:rsidR="00EF156C" w:rsidRDefault="00EF156C" w:rsidP="00EF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сформирована на основании проекта прогноза социально-экономического развития Славянского городского поселения  на 2019 год в соответствии со ст. 174.1 БК РФ и составит 355477,4 тыс. рублей.</w:t>
      </w:r>
    </w:p>
    <w:p w:rsidR="00EF156C" w:rsidRDefault="00EF156C" w:rsidP="00EF1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утверждаемых в Проекте бюджета доходов соответствует ст. 41, 42, 61.1, 62 БК РФ.</w:t>
      </w:r>
    </w:p>
    <w:p w:rsidR="00566C69" w:rsidRDefault="00566C69" w:rsidP="0056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C69" w:rsidRDefault="00566C69" w:rsidP="0056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устанавливается размер резервного фонда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Славянского городского поселении в сумме 2000,0 тыс. рублей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ограничениями, предусмотренными п. 3 ст. 81 БК РФ.</w:t>
      </w:r>
    </w:p>
    <w:p w:rsidR="00F55C00" w:rsidRDefault="00F55C00" w:rsidP="0056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C69" w:rsidRDefault="00566C69" w:rsidP="00566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расходов бюджета Славянского городского поселения на 2019 год имеет тенденцию развития жилищно-коммунального хозяйства. 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общей сумме бюджетных ассигнований расходы на социально-культурную сферу на 2019 год составят 55864,0 тыс. рублей или 15,7 % от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щего объема бюджета; жилищно-коммунальное хозяйство – 16,7 %; национал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ная экономика-7,7 %; решение общегосударственных вопросов –55,7 %, в кот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ром предусмотрены расходы на содержание общественно - социального центра, в сумме 163028,5 тыс. рублей, что составляет 45,9 % от общей суммы расходов бюджета. </w:t>
      </w:r>
      <w:proofErr w:type="gramEnd"/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бюджета на 2019 год составит 355477,4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лей или 70,3% к ожидаемому уровню 2018 года,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на 150409,9 тыс. рублей или на 26,7 %, меньше ожидаемой оценки исполнения бюджета на 2018 год и по сравнению с исполненными  расходами бюджета за  2017 год  меньше в сумме 152882,5 тыс. рублей. 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Планирование бюджетных ассигнований на исполнение переданных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номочий в соответствие со ст. 174.2 предусматривается  на основании разраб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танной методики их планирования. Предусмотренные средства в Проекте бю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жета в сумме 3880,0 тыс. руб.  является одним из факторов завышения  объемов финансирования  на переданные полномочия органам местного самоуправл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муниципального района.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 нарушение ст.34 Федерального закона от 08.11.2007 №257-ФЗ «Об 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ции», предусмотренное финансирование расходов на развитие дорожного х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зяйства  в сумме 10675,0 тыс. рублей, расчетными показателями  не подтве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ждены. Выделение денежных средств, на указанные мероприятия,  предусма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ривается  на основании утвержденных нормативов финансовых затрат на кап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тальный ремонт и содержание автомобильных дорог местного значения.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lastRenderedPageBreak/>
        <w:t>В пояснительной записке к Проекту бюджета отсутствуют показатели, содержащие анализ выделяемых сре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дств в б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юджете на сумму 10675,0           тыс. рублей, указывающие на эффективность выделяемых средств. 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566C69" w:rsidRDefault="00F55C00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нарушение ст.162 БК РФ в 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Проекте бюджета бюджетные ассигнования в сумме 50465,5</w:t>
      </w:r>
      <w:r w:rsidR="000A21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0A214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направленные 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погашение кредиторской  з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долженности по реструктуризированным платежам во внебюджетные фонды по соответствующим кодам бюджетной классификации не запланированы, что п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влечет за собой необходимость изыскания средств для ее погашения в ходе и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полнения бюджета в 2019 году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повлечет образование новой просроченной з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долженности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или </w:t>
      </w:r>
      <w:r w:rsidR="00140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превышению доведенных</w:t>
      </w:r>
      <w:proofErr w:type="gramEnd"/>
      <w:r w:rsidR="00140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лимитов бюджетных обяз</w:t>
      </w:r>
      <w:r w:rsidR="00140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1409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тельств</w:t>
      </w:r>
      <w:r w:rsidR="00566C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п.2 ст. 179 БК РФ при общих объемах финансирования 11 муниципальных программ в сумме 34722,5 тыс. рублей в Проекте бюджета предусмотрено объем выделяемых бюджетных средств на сумму 13646,2 тыс. рублей, что не соответствует объемам финансирования предусмотренных 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программах на общую сумму 21076,3 тыс. рублей.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целевой метод планирования в бюджетном процессе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3,8% от общего объема расходов бюджета на 2019 год, сохранилась первичность расходов по отношению к целям и задачам и ожидаемым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татам. 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ст.184.2  БК РФ с Проектом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не представлены 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порта муниципальных программ, что не позволило оценить целесообразность и результативность использования финансовых ресурсов   на принятые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пальные программы. В пояснительной записке к Проекту бюджета не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жится анализа планируемых расходов с учетом оценки эффективности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муниципальных программ в предшествующем периоде.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 ограниченности бюджетных ресурсов планируемый на 2019 год общий объем межбюджетных трансфертов из уровней других бюджетов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ставит 12,4 тыс. рублей.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Вместе с тем необходимо отметить, что тенденция  сокращения безво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мездных поступлений планируется ежегодно, но в силу складывающейся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номической ситуации и нестабильности местных бюджетов объемы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ляемых межбюджетных трансфертов в течение финансового года увеличиваю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563D56" w:rsidRDefault="00563D56" w:rsidP="00563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Проект бюджета рассмотрен на публичных слушаниях 31.10.2018 года  и размещен в сети интернет на сайте Совета и администрации Славянского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родского поселения в соответствии с Положением  о бюджетном процессе в Славянском городском поселении.</w:t>
      </w:r>
    </w:p>
    <w:p w:rsidR="00EF156C" w:rsidRDefault="00EF156C" w:rsidP="00563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3D56" w:rsidRDefault="00563D56" w:rsidP="00563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1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Контрольно-счетная палата предлагает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F156C" w:rsidRDefault="00EF156C" w:rsidP="00563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D56" w:rsidRDefault="00EF156C" w:rsidP="00563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1.Славянскому городскому поселению Славянского района</w:t>
      </w:r>
    </w:p>
    <w:p w:rsidR="00563D56" w:rsidRDefault="00563D56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объем расходов на реализацию ряда муниципальных программ Славянского городского поселения  запланирован в меньших 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мах, чем это предусмотрено паспортами муниципальных программ.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179 БК РФ муниципальные программы подлежат прив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дению в соответствие с правовыми актами органов местного самоуправления.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поселения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целевой метод планирования  позв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 эффективно и качественно использовать бюджетные средства,  представл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 возможным дать оценку эффективности целевого использования выделе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средств на исполнение программы и оценку работы специалистов - учас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ников муниципальной программы.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 бюджета в текстовой части не предусмотрено использование средств казенными учреждениями, полученных от оказания платных услуг.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роста муниципального долга и расходов на его обслуживание обеспечить эффективное управление муниципальным долгом, направленное на сдерживание долговой нагрузки, формирование безопасного уровня и 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муниципального долга, обеспечение долговой устойчивости местного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жета.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целью недопущения неэффективных расходов на оплату штрафов, 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ней, судебных расходов, предусмотреть в Проекте решения о бюджете на 2019 год бюджетные ассигнования на погашение кредиторской задолженности, не обеспеченные лимитами бюджетных обязатель</w:t>
      </w:r>
      <w:proofErr w:type="gramStart"/>
      <w:r>
        <w:rPr>
          <w:color w:val="000000" w:themeColor="text1"/>
          <w:sz w:val="28"/>
          <w:szCs w:val="28"/>
        </w:rPr>
        <w:t>ств в пр</w:t>
      </w:r>
      <w:proofErr w:type="gramEnd"/>
      <w:r>
        <w:rPr>
          <w:color w:val="000000" w:themeColor="text1"/>
          <w:sz w:val="28"/>
          <w:szCs w:val="28"/>
        </w:rPr>
        <w:t>едшествующих пери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дах.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Повысить качество планирования расходов на закупки за счет своевр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менного определения приоритетных объектов в условиях ограниченности ф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нансовых ресурсов.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Обеспечить </w:t>
      </w:r>
      <w:proofErr w:type="spellStart"/>
      <w:r>
        <w:rPr>
          <w:color w:val="000000" w:themeColor="text1"/>
          <w:sz w:val="28"/>
          <w:szCs w:val="28"/>
        </w:rPr>
        <w:t>программно</w:t>
      </w:r>
      <w:proofErr w:type="spellEnd"/>
      <w:r>
        <w:rPr>
          <w:color w:val="000000" w:themeColor="text1"/>
          <w:sz w:val="28"/>
          <w:szCs w:val="28"/>
        </w:rPr>
        <w:t xml:space="preserve"> - целевое планирование закупок, ориентирова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на реализацию мероприятий и достижения целей муниципальных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грамм.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целях достижения реалистичности доходов и расходов бюджета прив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сти в соответствие методики планирования бюджетных ассигнований,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смотренные ст. 184.2 БК РФ, обеспечит надежность прогнозирования показат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лей, содержащихся в прогнозах социально-экономического развития и внесение изменений в них в случае изменения </w:t>
      </w:r>
      <w:proofErr w:type="spellStart"/>
      <w:r>
        <w:rPr>
          <w:color w:val="000000" w:themeColor="text1"/>
          <w:sz w:val="28"/>
          <w:szCs w:val="28"/>
        </w:rPr>
        <w:t>маэроэкономических</w:t>
      </w:r>
      <w:proofErr w:type="spellEnd"/>
      <w:r>
        <w:rPr>
          <w:color w:val="000000" w:themeColor="text1"/>
          <w:sz w:val="28"/>
          <w:szCs w:val="28"/>
        </w:rPr>
        <w:t xml:space="preserve"> условий.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целью уточнения объемов доходов городского бюджета на 2019 год 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ресмотреть информацию главного администратора доходов городского бюдж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та о планируемых поступлениях и при необходимости внести соответствующие корректировки.</w:t>
      </w:r>
    </w:p>
    <w:p w:rsidR="00EF156C" w:rsidRDefault="00EF156C" w:rsidP="00EF1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Активизировать работу по мобилизации доходов бюджета в целях сокр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щения задолженности по налогам, сборам пеням и штрафам в бюджет Славя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ского городского поселения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 изменения в Положение о бюджетном процессе, утвержденного  решением 48 сессии Совета Славянского городского поселения от 22.10.2018 №2, дополнив ст.22  перечнем документов и материалов, которые предоста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ляются в Совет городского поселения одновременно с проектом решения о бюджете в части следующих материалов: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расчеты по видам доходов городского бюджета и источникам финанс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рования дефицита местного бюджета;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проект </w:t>
      </w:r>
      <w:proofErr w:type="gramStart"/>
      <w:r>
        <w:rPr>
          <w:color w:val="000000" w:themeColor="text1"/>
          <w:sz w:val="28"/>
          <w:szCs w:val="28"/>
        </w:rPr>
        <w:t>Программы приватизации объектов муниципальной собственн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сти городского поселения</w:t>
      </w:r>
      <w:proofErr w:type="gramEnd"/>
      <w:r>
        <w:rPr>
          <w:color w:val="000000" w:themeColor="text1"/>
          <w:sz w:val="28"/>
          <w:szCs w:val="28"/>
        </w:rPr>
        <w:t>;</w:t>
      </w:r>
    </w:p>
    <w:p w:rsidR="00566C69" w:rsidRDefault="00566C69" w:rsidP="00566C69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–   муниципальная долговая книга. </w:t>
      </w:r>
    </w:p>
    <w:p w:rsidR="00566C69" w:rsidRDefault="00566C69" w:rsidP="00566C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56C" w:rsidRDefault="00140991" w:rsidP="00EF15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Совет депутатов </w:t>
      </w:r>
      <w:r w:rsidR="00EF156C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городского поселения Славянского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направлено Экспертное заключение на проект решения </w:t>
      </w:r>
      <w:r w:rsidR="00EF156C">
        <w:rPr>
          <w:rFonts w:ascii="Times New Roman" w:hAnsi="Times New Roman" w:cs="Times New Roman"/>
          <w:color w:val="000000" w:themeColor="text1"/>
          <w:sz w:val="28"/>
          <w:szCs w:val="28"/>
        </w:rPr>
        <w:t>«О бюджете Славя</w:t>
      </w:r>
      <w:r w:rsidR="00EF156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F156C">
        <w:rPr>
          <w:rFonts w:ascii="Times New Roman" w:hAnsi="Times New Roman" w:cs="Times New Roman"/>
          <w:color w:val="000000" w:themeColor="text1"/>
          <w:sz w:val="28"/>
          <w:szCs w:val="28"/>
        </w:rPr>
        <w:t>ского городского поселения на 2019 год».</w:t>
      </w:r>
    </w:p>
    <w:p w:rsidR="00563D56" w:rsidRDefault="00563D56" w:rsidP="00563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3D56" w:rsidRDefault="00563D56" w:rsidP="00563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Контрольно-счетной палаты все перечисленные параметры проекта бюджета на 2018 год не превышают предельные размеры, установле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ные БК РФ</w:t>
      </w:r>
      <w:r w:rsidR="001409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5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роект бюджета</w:t>
      </w:r>
      <w:r w:rsidR="00EF1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охарактеризовать как сбала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сированный.</w:t>
      </w:r>
    </w:p>
    <w:p w:rsidR="00563D56" w:rsidRDefault="00563D56" w:rsidP="00563D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3D56" w:rsidSect="001B5C7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A45" w:rsidRDefault="005F5A45" w:rsidP="001B5C74">
      <w:pPr>
        <w:spacing w:after="0" w:line="240" w:lineRule="auto"/>
      </w:pPr>
      <w:r>
        <w:separator/>
      </w:r>
    </w:p>
  </w:endnote>
  <w:endnote w:type="continuationSeparator" w:id="0">
    <w:p w:rsidR="005F5A45" w:rsidRDefault="005F5A45" w:rsidP="001B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A45" w:rsidRDefault="005F5A45" w:rsidP="001B5C74">
      <w:pPr>
        <w:spacing w:after="0" w:line="240" w:lineRule="auto"/>
      </w:pPr>
      <w:r>
        <w:separator/>
      </w:r>
    </w:p>
  </w:footnote>
  <w:footnote w:type="continuationSeparator" w:id="0">
    <w:p w:rsidR="005F5A45" w:rsidRDefault="005F5A45" w:rsidP="001B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5449"/>
    </w:sdtPr>
    <w:sdtEndPr/>
    <w:sdtContent>
      <w:p w:rsidR="001B5C74" w:rsidRDefault="005F5A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7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B5C74" w:rsidRDefault="001B5C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6433"/>
    <w:rsid w:val="00017C39"/>
    <w:rsid w:val="00056AED"/>
    <w:rsid w:val="00070B36"/>
    <w:rsid w:val="0008606A"/>
    <w:rsid w:val="000A2140"/>
    <w:rsid w:val="000C3319"/>
    <w:rsid w:val="00105674"/>
    <w:rsid w:val="00105CCF"/>
    <w:rsid w:val="001236ED"/>
    <w:rsid w:val="00127750"/>
    <w:rsid w:val="00140991"/>
    <w:rsid w:val="001B5C74"/>
    <w:rsid w:val="001B72CA"/>
    <w:rsid w:val="00200491"/>
    <w:rsid w:val="002274A1"/>
    <w:rsid w:val="002500D4"/>
    <w:rsid w:val="002C7AD2"/>
    <w:rsid w:val="002D378E"/>
    <w:rsid w:val="00316433"/>
    <w:rsid w:val="00332482"/>
    <w:rsid w:val="00336F53"/>
    <w:rsid w:val="003A429B"/>
    <w:rsid w:val="00410488"/>
    <w:rsid w:val="0041692F"/>
    <w:rsid w:val="004632B7"/>
    <w:rsid w:val="004636BE"/>
    <w:rsid w:val="00494951"/>
    <w:rsid w:val="004C159B"/>
    <w:rsid w:val="0053041E"/>
    <w:rsid w:val="005573AC"/>
    <w:rsid w:val="00563D56"/>
    <w:rsid w:val="00565B92"/>
    <w:rsid w:val="00566C69"/>
    <w:rsid w:val="00575C9B"/>
    <w:rsid w:val="005D3240"/>
    <w:rsid w:val="005D4046"/>
    <w:rsid w:val="005D43C4"/>
    <w:rsid w:val="005E2193"/>
    <w:rsid w:val="005E3390"/>
    <w:rsid w:val="005E3D3C"/>
    <w:rsid w:val="005F5A45"/>
    <w:rsid w:val="00676B12"/>
    <w:rsid w:val="00682F7E"/>
    <w:rsid w:val="006E7193"/>
    <w:rsid w:val="00705E0B"/>
    <w:rsid w:val="00732E22"/>
    <w:rsid w:val="007B44E0"/>
    <w:rsid w:val="007B741E"/>
    <w:rsid w:val="00815AB5"/>
    <w:rsid w:val="00842E5B"/>
    <w:rsid w:val="0084793B"/>
    <w:rsid w:val="00853F4A"/>
    <w:rsid w:val="00854B71"/>
    <w:rsid w:val="008752A7"/>
    <w:rsid w:val="00891C78"/>
    <w:rsid w:val="00893645"/>
    <w:rsid w:val="008A289C"/>
    <w:rsid w:val="008E3205"/>
    <w:rsid w:val="009131C3"/>
    <w:rsid w:val="00915B91"/>
    <w:rsid w:val="009273AC"/>
    <w:rsid w:val="00982BCF"/>
    <w:rsid w:val="00997BE5"/>
    <w:rsid w:val="009B024C"/>
    <w:rsid w:val="009B2BC1"/>
    <w:rsid w:val="00A032FD"/>
    <w:rsid w:val="00A140A7"/>
    <w:rsid w:val="00A26BA0"/>
    <w:rsid w:val="00A32A94"/>
    <w:rsid w:val="00AF626C"/>
    <w:rsid w:val="00B16A8D"/>
    <w:rsid w:val="00B210C6"/>
    <w:rsid w:val="00B23CE3"/>
    <w:rsid w:val="00B451D5"/>
    <w:rsid w:val="00B5250A"/>
    <w:rsid w:val="00B91F72"/>
    <w:rsid w:val="00BE530B"/>
    <w:rsid w:val="00C20C0B"/>
    <w:rsid w:val="00C721C7"/>
    <w:rsid w:val="00CA5877"/>
    <w:rsid w:val="00CC23AF"/>
    <w:rsid w:val="00CC50E7"/>
    <w:rsid w:val="00CF3EC5"/>
    <w:rsid w:val="00D03931"/>
    <w:rsid w:val="00D1382F"/>
    <w:rsid w:val="00D70BEC"/>
    <w:rsid w:val="00D74E07"/>
    <w:rsid w:val="00D84376"/>
    <w:rsid w:val="00DC4BD8"/>
    <w:rsid w:val="00DD5AD8"/>
    <w:rsid w:val="00DF159D"/>
    <w:rsid w:val="00E2283C"/>
    <w:rsid w:val="00E22F44"/>
    <w:rsid w:val="00E7401D"/>
    <w:rsid w:val="00EA0699"/>
    <w:rsid w:val="00EF156C"/>
    <w:rsid w:val="00F3409F"/>
    <w:rsid w:val="00F4069F"/>
    <w:rsid w:val="00F55C00"/>
    <w:rsid w:val="00FB524B"/>
    <w:rsid w:val="00FB7142"/>
    <w:rsid w:val="00FD6CBA"/>
    <w:rsid w:val="00FE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164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1643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3164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5C74"/>
  </w:style>
  <w:style w:type="paragraph" w:styleId="a7">
    <w:name w:val="footer"/>
    <w:basedOn w:val="a"/>
    <w:link w:val="a8"/>
    <w:uiPriority w:val="99"/>
    <w:semiHidden/>
    <w:unhideWhenUsed/>
    <w:rsid w:val="001B5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5C74"/>
  </w:style>
  <w:style w:type="paragraph" w:styleId="a9">
    <w:name w:val="List Paragraph"/>
    <w:basedOn w:val="a"/>
    <w:uiPriority w:val="34"/>
    <w:qFormat/>
    <w:rsid w:val="00017C39"/>
    <w:pPr>
      <w:ind w:left="720"/>
      <w:contextualSpacing/>
    </w:pPr>
  </w:style>
  <w:style w:type="paragraph" w:styleId="aa">
    <w:name w:val="Normal (Web)"/>
    <w:basedOn w:val="a"/>
    <w:semiHidden/>
    <w:unhideWhenUsed/>
    <w:rsid w:val="0056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66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0A21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ad">
    <w:name w:val="Название Знак"/>
    <w:basedOn w:val="a0"/>
    <w:link w:val="ac"/>
    <w:rsid w:val="000A2140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FontStyle11">
    <w:name w:val="Font Style11"/>
    <w:rsid w:val="000A2140"/>
    <w:rPr>
      <w:rFonts w:ascii="Times New Roman" w:hAnsi="Times New Roman" w:cs="Times New Roman" w:hint="default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ECA0-2231-40C7-8D09-0FB34659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Пользователь</cp:lastModifiedBy>
  <cp:revision>49</cp:revision>
  <cp:lastPrinted>2018-11-17T08:47:00Z</cp:lastPrinted>
  <dcterms:created xsi:type="dcterms:W3CDTF">2012-12-09T11:46:00Z</dcterms:created>
  <dcterms:modified xsi:type="dcterms:W3CDTF">2019-02-26T05:41:00Z</dcterms:modified>
</cp:coreProperties>
</file>