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5F" w:rsidRPr="00025EFF" w:rsidRDefault="00A6115F" w:rsidP="00DB74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025E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Заключение </w:t>
      </w:r>
      <w:r w:rsidR="008908D8">
        <w:rPr>
          <w:rFonts w:ascii="Times New Roman" w:hAnsi="Times New Roman" w:cs="Times New Roman"/>
          <w:b/>
          <w:color w:val="000000"/>
          <w:sz w:val="32"/>
          <w:szCs w:val="32"/>
        </w:rPr>
        <w:t>на</w:t>
      </w:r>
      <w:r w:rsidRPr="00025E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проект решения </w:t>
      </w:r>
      <w:r w:rsidR="00C80D8D" w:rsidRPr="00025EFF">
        <w:rPr>
          <w:rFonts w:ascii="Times New Roman" w:hAnsi="Times New Roman" w:cs="Times New Roman"/>
          <w:b/>
          <w:color w:val="000000"/>
          <w:sz w:val="32"/>
          <w:szCs w:val="32"/>
        </w:rPr>
        <w:t>Совета Славянского городского поселения</w:t>
      </w:r>
      <w:r w:rsidR="00025E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Славянского района</w:t>
      </w:r>
      <w:r w:rsidR="00D3119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25E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«О бюджете </w:t>
      </w:r>
      <w:r w:rsidR="00C80D8D" w:rsidRPr="00025EFF">
        <w:rPr>
          <w:rFonts w:ascii="Times New Roman" w:hAnsi="Times New Roman" w:cs="Times New Roman"/>
          <w:b/>
          <w:color w:val="000000"/>
          <w:sz w:val="32"/>
          <w:szCs w:val="32"/>
        </w:rPr>
        <w:t>Славянского городского поселения Славянского района на 201</w:t>
      </w:r>
      <w:r w:rsidR="002450F3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="00C80D8D" w:rsidRPr="00025E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год»</w:t>
      </w:r>
      <w:bookmarkEnd w:id="0"/>
    </w:p>
    <w:p w:rsidR="00A6115F" w:rsidRDefault="00A6115F" w:rsidP="00DB74FE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A6115F" w:rsidRPr="009272D1" w:rsidRDefault="00DB74BD" w:rsidP="00A611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2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74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ноября 201</w:t>
      </w:r>
      <w:r w:rsidR="002450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года     </w:t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115F" w:rsidRPr="009272D1">
        <w:rPr>
          <w:rFonts w:ascii="Times New Roman" w:hAnsi="Times New Roman" w:cs="Times New Roman"/>
          <w:color w:val="000000"/>
          <w:sz w:val="28"/>
          <w:szCs w:val="28"/>
        </w:rPr>
        <w:tab/>
        <w:t>г.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>Славянск-на-Кубани</w:t>
      </w:r>
    </w:p>
    <w:p w:rsidR="006509C0" w:rsidRDefault="006509C0" w:rsidP="004C3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EE" w:rsidRPr="00C328A8" w:rsidRDefault="004C39EE" w:rsidP="00C328A8">
      <w:pPr>
        <w:pStyle w:val="ad"/>
        <w:widowControl w:val="0"/>
        <w:tabs>
          <w:tab w:val="left" w:pos="1418"/>
          <w:tab w:val="left" w:pos="3686"/>
        </w:tabs>
        <w:ind w:firstLine="709"/>
        <w:jc w:val="both"/>
        <w:rPr>
          <w:b w:val="0"/>
          <w:sz w:val="28"/>
          <w:szCs w:val="28"/>
        </w:rPr>
      </w:pPr>
      <w:r w:rsidRPr="00C328A8">
        <w:rPr>
          <w:b w:val="0"/>
          <w:sz w:val="28"/>
          <w:szCs w:val="28"/>
        </w:rPr>
        <w:t xml:space="preserve">Заключение </w:t>
      </w:r>
      <w:r w:rsidR="002450F3">
        <w:rPr>
          <w:b w:val="0"/>
          <w:sz w:val="28"/>
          <w:szCs w:val="28"/>
        </w:rPr>
        <w:t>к</w:t>
      </w:r>
      <w:r w:rsidRPr="00C328A8">
        <w:rPr>
          <w:b w:val="0"/>
          <w:sz w:val="28"/>
          <w:szCs w:val="28"/>
        </w:rPr>
        <w:t>онтрольно-счетной палаты муниципального образования Славянский район «О бюджете Славянского городского поселения Славянского района на 201</w:t>
      </w:r>
      <w:r w:rsidR="002450F3">
        <w:rPr>
          <w:b w:val="0"/>
          <w:sz w:val="28"/>
          <w:szCs w:val="28"/>
        </w:rPr>
        <w:t>9</w:t>
      </w:r>
      <w:r w:rsidRPr="00C328A8">
        <w:rPr>
          <w:b w:val="0"/>
          <w:sz w:val="28"/>
          <w:szCs w:val="28"/>
        </w:rPr>
        <w:t xml:space="preserve"> год»  подготовлено  на основании  </w:t>
      </w:r>
      <w:r w:rsidR="00C328A8" w:rsidRPr="00C328A8">
        <w:rPr>
          <w:b w:val="0"/>
          <w:sz w:val="28"/>
          <w:szCs w:val="28"/>
        </w:rPr>
        <w:t>гл.26</w:t>
      </w:r>
      <w:r w:rsidRPr="00C328A8">
        <w:rPr>
          <w:b w:val="0"/>
          <w:sz w:val="28"/>
          <w:szCs w:val="28"/>
        </w:rPr>
        <w:t>Бюджетного кодекса Российской Федерации (далее – БК РФ</w:t>
      </w:r>
      <w:r w:rsidRPr="00C328A8">
        <w:rPr>
          <w:sz w:val="28"/>
          <w:szCs w:val="28"/>
        </w:rPr>
        <w:t xml:space="preserve">), </w:t>
      </w:r>
      <w:r w:rsidR="00C328A8" w:rsidRPr="00C328A8">
        <w:rPr>
          <w:rStyle w:val="FontStyle11"/>
          <w:sz w:val="28"/>
          <w:szCs w:val="28"/>
        </w:rPr>
        <w:t xml:space="preserve"> п. 1 ст. 17.1 Федерального закона от 06.10.2003 № 131-ФЗ «Об общих принципах организации местного самоуправления в Российской Федерации», </w:t>
      </w:r>
      <w:r w:rsidRPr="004A0C72">
        <w:rPr>
          <w:b w:val="0"/>
          <w:sz w:val="28"/>
          <w:szCs w:val="28"/>
        </w:rPr>
        <w:t>п</w:t>
      </w:r>
      <w:r w:rsidRPr="00C328A8">
        <w:rPr>
          <w:b w:val="0"/>
          <w:sz w:val="28"/>
          <w:szCs w:val="28"/>
        </w:rPr>
        <w:t>. 2 ст. 9 Федерального закона № 6-ФЗ от 07.02.2011  «Об общих принципах организации и деятельности контрольно-счетных органов субъектов Российской Федерации и муниципальных образований», пункта 3 статьи 22 Закона Краснодарского</w:t>
      </w:r>
      <w:r w:rsidRPr="00F25544">
        <w:rPr>
          <w:b w:val="0"/>
          <w:sz w:val="28"/>
          <w:szCs w:val="28"/>
        </w:rPr>
        <w:t xml:space="preserve">края </w:t>
      </w:r>
      <w:r w:rsidRPr="00C328A8">
        <w:rPr>
          <w:b w:val="0"/>
          <w:sz w:val="28"/>
          <w:szCs w:val="28"/>
        </w:rPr>
        <w:t>от 04.02.2002 №437-КЗ «О бюджетном процессе в Краснодарском крае», статьи 22 «Положения о бюджетном процессе в Славянском городском поселении», Положения о Контрольно-счетной палате муниципального образования Славянский район</w:t>
      </w:r>
      <w:r w:rsidR="00271874" w:rsidRPr="00C328A8">
        <w:rPr>
          <w:b w:val="0"/>
          <w:sz w:val="28"/>
          <w:szCs w:val="28"/>
        </w:rPr>
        <w:t xml:space="preserve">, Стандарта внешнего муниципального финансового контроля </w:t>
      </w:r>
      <w:r w:rsidR="00871648" w:rsidRPr="00C328A8">
        <w:rPr>
          <w:b w:val="0"/>
          <w:sz w:val="28"/>
          <w:szCs w:val="28"/>
        </w:rPr>
        <w:t>«</w:t>
      </w:r>
      <w:r w:rsidR="00271874" w:rsidRPr="00C328A8">
        <w:rPr>
          <w:b w:val="0"/>
          <w:sz w:val="28"/>
          <w:szCs w:val="28"/>
        </w:rPr>
        <w:t>Подготовка заключения контрольно-счетной палаты муниципального образования Славянский район на пр</w:t>
      </w:r>
      <w:r w:rsidR="00871648" w:rsidRPr="00C328A8">
        <w:rPr>
          <w:b w:val="0"/>
          <w:sz w:val="28"/>
          <w:szCs w:val="28"/>
        </w:rPr>
        <w:t>о</w:t>
      </w:r>
      <w:r w:rsidR="00271874" w:rsidRPr="00C328A8">
        <w:rPr>
          <w:b w:val="0"/>
          <w:sz w:val="28"/>
          <w:szCs w:val="28"/>
        </w:rPr>
        <w:t xml:space="preserve">ект районного бюджета на очередной </w:t>
      </w:r>
      <w:r w:rsidR="00871648" w:rsidRPr="00C328A8">
        <w:rPr>
          <w:b w:val="0"/>
          <w:sz w:val="28"/>
          <w:szCs w:val="28"/>
        </w:rPr>
        <w:t>финансовый год и плановый период» утвержденного распоряжением председателя контрольно-счетной палаты муниципального образования Славянский район от 24.09.2013 №15-р</w:t>
      </w:r>
      <w:r w:rsidRPr="00C328A8">
        <w:rPr>
          <w:b w:val="0"/>
          <w:sz w:val="28"/>
          <w:szCs w:val="28"/>
        </w:rPr>
        <w:t xml:space="preserve"> и заключенного соглашения №1</w:t>
      </w:r>
      <w:r w:rsidR="002450F3">
        <w:rPr>
          <w:b w:val="0"/>
          <w:sz w:val="28"/>
          <w:szCs w:val="28"/>
        </w:rPr>
        <w:t>5</w:t>
      </w:r>
      <w:r w:rsidRPr="00C328A8">
        <w:rPr>
          <w:b w:val="0"/>
          <w:sz w:val="28"/>
          <w:szCs w:val="28"/>
        </w:rPr>
        <w:t xml:space="preserve"> от </w:t>
      </w:r>
      <w:r w:rsidR="00271874" w:rsidRPr="00C328A8">
        <w:rPr>
          <w:b w:val="0"/>
          <w:sz w:val="28"/>
          <w:szCs w:val="28"/>
        </w:rPr>
        <w:t>2</w:t>
      </w:r>
      <w:r w:rsidR="00554B60">
        <w:rPr>
          <w:b w:val="0"/>
          <w:sz w:val="28"/>
          <w:szCs w:val="28"/>
        </w:rPr>
        <w:t>2</w:t>
      </w:r>
      <w:r w:rsidRPr="00C328A8">
        <w:rPr>
          <w:b w:val="0"/>
          <w:sz w:val="28"/>
          <w:szCs w:val="28"/>
        </w:rPr>
        <w:t>.12.201</w:t>
      </w:r>
      <w:r w:rsidR="002450F3">
        <w:rPr>
          <w:b w:val="0"/>
          <w:sz w:val="28"/>
          <w:szCs w:val="28"/>
        </w:rPr>
        <w:t>7</w:t>
      </w:r>
      <w:r w:rsidRPr="00C328A8">
        <w:rPr>
          <w:b w:val="0"/>
          <w:sz w:val="28"/>
          <w:szCs w:val="28"/>
        </w:rPr>
        <w:t xml:space="preserve"> года на основании решения </w:t>
      </w:r>
      <w:r w:rsidR="002450F3">
        <w:rPr>
          <w:b w:val="0"/>
          <w:sz w:val="28"/>
          <w:szCs w:val="28"/>
        </w:rPr>
        <w:t>двадцать девячтой</w:t>
      </w:r>
      <w:r w:rsidRPr="00C328A8">
        <w:rPr>
          <w:b w:val="0"/>
          <w:sz w:val="28"/>
          <w:szCs w:val="28"/>
        </w:rPr>
        <w:t>сессии Совета муниципального образования Славянский район от</w:t>
      </w:r>
      <w:r w:rsidR="002450F3">
        <w:rPr>
          <w:b w:val="0"/>
          <w:sz w:val="28"/>
          <w:szCs w:val="28"/>
        </w:rPr>
        <w:t>20</w:t>
      </w:r>
      <w:r w:rsidR="00BE74F6">
        <w:rPr>
          <w:b w:val="0"/>
          <w:sz w:val="28"/>
          <w:szCs w:val="28"/>
        </w:rPr>
        <w:t>.12.2017</w:t>
      </w:r>
      <w:r w:rsidRPr="00C328A8">
        <w:rPr>
          <w:b w:val="0"/>
          <w:sz w:val="28"/>
          <w:szCs w:val="28"/>
        </w:rPr>
        <w:t>№</w:t>
      </w:r>
      <w:r w:rsidR="004A72D4">
        <w:rPr>
          <w:b w:val="0"/>
          <w:sz w:val="28"/>
          <w:szCs w:val="28"/>
        </w:rPr>
        <w:t>1</w:t>
      </w:r>
      <w:r w:rsidR="00BE74F6">
        <w:rPr>
          <w:b w:val="0"/>
          <w:sz w:val="28"/>
          <w:szCs w:val="28"/>
        </w:rPr>
        <w:t>9</w:t>
      </w:r>
      <w:r w:rsidRPr="00C328A8">
        <w:rPr>
          <w:b w:val="0"/>
          <w:sz w:val="28"/>
          <w:szCs w:val="28"/>
        </w:rPr>
        <w:t xml:space="preserve"> «О принятии контрольно – счетной палатой</w:t>
      </w:r>
      <w:r w:rsidR="00271874" w:rsidRPr="00C328A8">
        <w:rPr>
          <w:b w:val="0"/>
          <w:sz w:val="28"/>
          <w:szCs w:val="28"/>
        </w:rPr>
        <w:t xml:space="preserve"> муниципального образования Славянский район </w:t>
      </w:r>
      <w:r w:rsidRPr="00C328A8">
        <w:rPr>
          <w:b w:val="0"/>
          <w:sz w:val="28"/>
          <w:szCs w:val="28"/>
        </w:rPr>
        <w:t xml:space="preserve"> полномочий контрольно-счетного органа муниципальных образований городского и сельск</w:t>
      </w:r>
      <w:r w:rsidR="00BE74F6">
        <w:rPr>
          <w:b w:val="0"/>
          <w:sz w:val="28"/>
          <w:szCs w:val="28"/>
        </w:rPr>
        <w:t>их</w:t>
      </w:r>
      <w:r w:rsidRPr="00C328A8">
        <w:rPr>
          <w:b w:val="0"/>
          <w:sz w:val="28"/>
          <w:szCs w:val="28"/>
        </w:rPr>
        <w:t xml:space="preserve"> поселений Славянского района по осуществлению внешнего муниципального финансового контроля»</w:t>
      </w:r>
      <w:r w:rsidR="004E0BCE">
        <w:rPr>
          <w:b w:val="0"/>
          <w:sz w:val="28"/>
          <w:szCs w:val="28"/>
        </w:rPr>
        <w:t>, распоряжения контрольно-счетной палаты от 29.10.2018 №22-э «О проведении экспертизы проектов бюджета муниципального образования Славянский район ,сельских(городского) поселений Славянского района на текущий 2019 год и плановый период 2020-2021 годов.</w:t>
      </w:r>
    </w:p>
    <w:p w:rsidR="004C39EE" w:rsidRPr="00C328A8" w:rsidRDefault="004C39EE" w:rsidP="004C39EE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C39EE" w:rsidRPr="009272D1" w:rsidRDefault="004C39EE" w:rsidP="004C39EE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9272D1">
        <w:rPr>
          <w:sz w:val="28"/>
          <w:szCs w:val="28"/>
        </w:rPr>
        <w:t>При подготовке заключения использованы результаты проведенных контрольных и экспертно-аналитических мероприятий, проанализированы основные показатели прогноза социально - экономического развития Славянского городского поселения на 20</w:t>
      </w:r>
      <w:r w:rsidR="00BE74F6">
        <w:rPr>
          <w:sz w:val="28"/>
          <w:szCs w:val="28"/>
        </w:rPr>
        <w:t>19</w:t>
      </w:r>
      <w:r w:rsidRPr="009272D1">
        <w:rPr>
          <w:sz w:val="28"/>
          <w:szCs w:val="28"/>
        </w:rPr>
        <w:t xml:space="preserve"> год, основные направления бюджетной и налоговой политики Славянского городского </w:t>
      </w:r>
      <w:r w:rsidRPr="006E3023">
        <w:rPr>
          <w:color w:val="000000" w:themeColor="text1"/>
          <w:sz w:val="28"/>
          <w:szCs w:val="28"/>
        </w:rPr>
        <w:t>поселения на 201</w:t>
      </w:r>
      <w:r w:rsidR="00BE74F6">
        <w:rPr>
          <w:color w:val="000000" w:themeColor="text1"/>
          <w:sz w:val="28"/>
          <w:szCs w:val="28"/>
        </w:rPr>
        <w:t>9</w:t>
      </w:r>
      <w:r w:rsidR="006E3023" w:rsidRPr="006E3023">
        <w:rPr>
          <w:color w:val="000000" w:themeColor="text1"/>
          <w:sz w:val="28"/>
          <w:szCs w:val="28"/>
        </w:rPr>
        <w:t>-20</w:t>
      </w:r>
      <w:r w:rsidR="00BE74F6">
        <w:rPr>
          <w:color w:val="000000" w:themeColor="text1"/>
          <w:sz w:val="28"/>
          <w:szCs w:val="28"/>
        </w:rPr>
        <w:t>21</w:t>
      </w:r>
      <w:r w:rsidR="006E3023" w:rsidRPr="006E3023">
        <w:rPr>
          <w:color w:val="000000" w:themeColor="text1"/>
          <w:sz w:val="28"/>
          <w:szCs w:val="28"/>
        </w:rPr>
        <w:t xml:space="preserve"> годы</w:t>
      </w:r>
      <w:r w:rsidR="006E3023">
        <w:rPr>
          <w:color w:val="000000" w:themeColor="text1"/>
          <w:sz w:val="28"/>
          <w:szCs w:val="28"/>
        </w:rPr>
        <w:t>.</w:t>
      </w:r>
    </w:p>
    <w:p w:rsidR="004C39EE" w:rsidRPr="009272D1" w:rsidRDefault="004C39EE" w:rsidP="004C39EE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4C39EE" w:rsidRPr="009272D1" w:rsidRDefault="004C39EE" w:rsidP="004C39EE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272D1">
        <w:rPr>
          <w:rFonts w:ascii="Times New Roman" w:hAnsi="Times New Roman" w:cs="Times New Roman"/>
          <w:snapToGrid w:val="0"/>
          <w:sz w:val="28"/>
          <w:szCs w:val="28"/>
        </w:rPr>
        <w:t xml:space="preserve">Целью проведения экспертизы </w:t>
      </w:r>
      <w:r w:rsidR="00C62AC9">
        <w:rPr>
          <w:rFonts w:ascii="Times New Roman" w:hAnsi="Times New Roman" w:cs="Times New Roman"/>
          <w:snapToGrid w:val="0"/>
          <w:sz w:val="28"/>
          <w:szCs w:val="28"/>
        </w:rPr>
        <w:t>«О бюджете Славянского городского поселения Славянского района на 201</w:t>
      </w:r>
      <w:r w:rsidR="00BE74F6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C62AC9">
        <w:rPr>
          <w:rFonts w:ascii="Times New Roman" w:hAnsi="Times New Roman" w:cs="Times New Roman"/>
          <w:snapToGrid w:val="0"/>
          <w:sz w:val="28"/>
          <w:szCs w:val="28"/>
        </w:rPr>
        <w:t xml:space="preserve"> год» (далее-</w:t>
      </w:r>
      <w:r w:rsidR="00FD173A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9272D1">
        <w:rPr>
          <w:rFonts w:ascii="Times New Roman" w:hAnsi="Times New Roman" w:cs="Times New Roman"/>
          <w:snapToGrid w:val="0"/>
          <w:sz w:val="28"/>
          <w:szCs w:val="28"/>
        </w:rPr>
        <w:t>роект бюджета</w:t>
      </w:r>
      <w:r w:rsidR="00EE5278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9272D1">
        <w:rPr>
          <w:rFonts w:ascii="Times New Roman" w:hAnsi="Times New Roman" w:cs="Times New Roman"/>
          <w:snapToGrid w:val="0"/>
          <w:sz w:val="28"/>
          <w:szCs w:val="28"/>
        </w:rPr>
        <w:t xml:space="preserve"> являлось определение достоверности и обоснованности показателей формирования проекта бюджета города, в том числе:</w:t>
      </w:r>
    </w:p>
    <w:p w:rsidR="004C39EE" w:rsidRPr="009272D1" w:rsidRDefault="004C39EE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2D1"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4C39EE" w:rsidRPr="009272D1" w:rsidRDefault="004C39EE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2D1"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4C39EE" w:rsidRPr="009272D1" w:rsidRDefault="004C39EE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2D1"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4C39EE" w:rsidRPr="009272D1" w:rsidRDefault="004C39EE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9EE" w:rsidRPr="009272D1" w:rsidRDefault="004C39EE" w:rsidP="004C3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В соответствии с требованиями ст</w:t>
      </w:r>
      <w:r w:rsidR="00220B7C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272D1">
        <w:rPr>
          <w:rFonts w:ascii="Times New Roman" w:hAnsi="Times New Roman" w:cs="Times New Roman"/>
          <w:sz w:val="28"/>
          <w:szCs w:val="28"/>
        </w:rPr>
        <w:t>169 БК</w:t>
      </w:r>
      <w:r w:rsidR="00220B7C">
        <w:rPr>
          <w:rFonts w:ascii="Times New Roman" w:hAnsi="Times New Roman" w:cs="Times New Roman"/>
          <w:sz w:val="28"/>
          <w:szCs w:val="28"/>
        </w:rPr>
        <w:t>,</w:t>
      </w:r>
      <w:r w:rsidR="00FA2CE0">
        <w:rPr>
          <w:rFonts w:ascii="Times New Roman" w:hAnsi="Times New Roman" w:cs="Times New Roman"/>
          <w:sz w:val="28"/>
          <w:szCs w:val="28"/>
        </w:rPr>
        <w:t xml:space="preserve"> </w:t>
      </w:r>
      <w:r w:rsidR="00220B7C">
        <w:rPr>
          <w:rFonts w:ascii="Times New Roman" w:hAnsi="Times New Roman" w:cs="Times New Roman"/>
          <w:sz w:val="28"/>
          <w:szCs w:val="28"/>
        </w:rPr>
        <w:t>пунктом 4 статьи 14, пунктом 1 статьи 21</w:t>
      </w:r>
      <w:r w:rsidR="007019BF">
        <w:rPr>
          <w:rFonts w:ascii="Times New Roman" w:hAnsi="Times New Roman" w:cs="Times New Roman"/>
          <w:sz w:val="28"/>
          <w:szCs w:val="28"/>
        </w:rPr>
        <w:t xml:space="preserve"> Положении о бюджетном процессе Славянского городского поселения </w:t>
      </w:r>
      <w:r w:rsidRPr="009272D1">
        <w:rPr>
          <w:rFonts w:ascii="Times New Roman" w:hAnsi="Times New Roman" w:cs="Times New Roman"/>
          <w:sz w:val="28"/>
          <w:szCs w:val="28"/>
        </w:rPr>
        <w:t>утвержден порядок</w:t>
      </w:r>
      <w:r w:rsidR="00220B7C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Pr="009272D1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городского поселения.</w:t>
      </w:r>
    </w:p>
    <w:p w:rsidR="004C39EE" w:rsidRPr="009272D1" w:rsidRDefault="004C39EE" w:rsidP="004C3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143" w:rsidRPr="00EC7143" w:rsidRDefault="000B31ED" w:rsidP="00EC71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65CA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принятым постановлением администрации Славянского городского поселения от </w:t>
      </w:r>
      <w:r w:rsidR="00713022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65CA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.10.201</w:t>
      </w:r>
      <w:r w:rsidR="00713022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5CA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713022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257</w:t>
      </w:r>
      <w:r w:rsidR="00C65CA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опубликовании назначении даты проведения публичных слушаний, создании оргкомитета по проведению публичных слушаний» по рассмотрению Проекта бюджета Славянского городского поселения Славянского района на 201</w:t>
      </w:r>
      <w:r w:rsidR="00220B7C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5CA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C4771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65CA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71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 период </w:t>
      </w:r>
      <w:r w:rsidR="00C62AC9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слушаний на 31.10.201</w:t>
      </w:r>
      <w:r w:rsidR="00713022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2AC9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4771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основании </w:t>
      </w:r>
      <w:r w:rsidR="007019BF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п.п. 2 п. 3 ст. 28, </w:t>
      </w:r>
      <w:r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6 ст. 52 Федерального закона № 131-ФЗ от 06.10.2003 </w:t>
      </w:r>
      <w:r w:rsidR="00D56DFC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771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автономном учреждении культуры «Славянская межпоселенческая центральная библиотека» обнародовано Постановление от 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15.10.2018</w:t>
      </w:r>
      <w:r w:rsidR="00C4771E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257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 бюджета Славянского городского поселения на 201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составленном акте об обнародовании муниципального правового акта от 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.10.201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указано</w:t>
      </w:r>
      <w:r w:rsidR="00C62AC9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период с 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.10.201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.10.201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включительно в библиотеке на выставочной витрине находил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сь информационн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проведение публичных слушаний по рассмотрению «Проекта бюджета Славянского городского поселения на 201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26F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="00C62AC9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51310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Постан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овление №1257 «</w:t>
      </w:r>
      <w:r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170A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б опубликовании, назначении даты проведения публичных слушаний, создании оргкомитета по проведению публичных слушаний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62AC9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31ED" w:rsidRPr="00220B7C" w:rsidRDefault="007019BF" w:rsidP="00EC71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Проект бюджета</w:t>
      </w:r>
      <w:r w:rsidR="00C62AC9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EC7143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2AC9"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EC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в «Сети интернет».</w:t>
      </w:r>
    </w:p>
    <w:p w:rsidR="000B31ED" w:rsidRDefault="000B31ED" w:rsidP="000B31E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2 и 3 ст. 3 Федерального закона от 25.12.2008 № 273-ФЗ (в редакции от 28.12.2013) «О противодействии коррупции» (далее – Федеральный закон № 273-ФЗ) при составлении Проекта бюджета соблюдены основные принципы противодействия коррупции: законность, публичность и </w:t>
      </w:r>
      <w:r w:rsidRPr="00657E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открытость деятельности органов местного самоуправления Славянского городского поселения Славянского района.</w:t>
      </w:r>
    </w:p>
    <w:p w:rsidR="00FA2CE0" w:rsidRPr="00657EAE" w:rsidRDefault="00FA2CE0" w:rsidP="000B31E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75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ст. 185 БК РФ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 ст.2</w:t>
      </w:r>
      <w:r w:rsidR="007531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</w:t>
      </w:r>
      <w:r w:rsidR="007531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одготовлено распоряжение от 07.12.2018 №116-р «О внесении в Совет Славянского </w:t>
      </w:r>
      <w:r w:rsidR="0075318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апоселения Славянского района Проект бюджета на 2019»</w:t>
      </w:r>
      <w:r w:rsidR="00E0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решение о Проекте  бюджета на 2019 год  внесено в Совет Славянского городского поселения до 15 ноября 2018 года с соответствующим пакетом документов предусмотренных  ст.184.2 БК РФ и   </w:t>
      </w:r>
      <w:r w:rsidR="00E07616">
        <w:rPr>
          <w:rFonts w:ascii="Times New Roman" w:hAnsi="Times New Roman" w:cs="Times New Roman"/>
          <w:sz w:val="28"/>
          <w:szCs w:val="28"/>
        </w:rPr>
        <w:t>ст. 22</w:t>
      </w:r>
      <w:r w:rsidR="00E07616" w:rsidRPr="00F5131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E07616">
        <w:rPr>
          <w:rFonts w:ascii="Times New Roman" w:hAnsi="Times New Roman" w:cs="Times New Roman"/>
          <w:sz w:val="28"/>
          <w:szCs w:val="28"/>
        </w:rPr>
        <w:t>.</w:t>
      </w:r>
    </w:p>
    <w:p w:rsidR="00586E5A" w:rsidRPr="00F51310" w:rsidRDefault="00586E5A" w:rsidP="00586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31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31ED" w:rsidRPr="00F51310" w:rsidRDefault="000B31ED" w:rsidP="00586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1ED" w:rsidRPr="00F51310" w:rsidRDefault="000B31ED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10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220B7C">
        <w:rPr>
          <w:rFonts w:ascii="Times New Roman" w:hAnsi="Times New Roman" w:cs="Times New Roman"/>
          <w:sz w:val="28"/>
          <w:szCs w:val="28"/>
        </w:rPr>
        <w:t>атьей</w:t>
      </w:r>
      <w:r w:rsidRPr="00F51310">
        <w:rPr>
          <w:rFonts w:ascii="Times New Roman" w:hAnsi="Times New Roman" w:cs="Times New Roman"/>
          <w:sz w:val="28"/>
          <w:szCs w:val="28"/>
        </w:rPr>
        <w:t xml:space="preserve">. 184.2 Бюджетного кодекса Российской Федерации (далее -БК РФ), </w:t>
      </w:r>
      <w:r w:rsidR="00220B7C">
        <w:rPr>
          <w:rFonts w:ascii="Times New Roman" w:hAnsi="Times New Roman" w:cs="Times New Roman"/>
          <w:sz w:val="28"/>
          <w:szCs w:val="28"/>
        </w:rPr>
        <w:t>статьи 2</w:t>
      </w:r>
      <w:r w:rsidR="00B47EF3">
        <w:rPr>
          <w:rFonts w:ascii="Times New Roman" w:hAnsi="Times New Roman" w:cs="Times New Roman"/>
          <w:sz w:val="28"/>
          <w:szCs w:val="28"/>
        </w:rPr>
        <w:t>2</w:t>
      </w:r>
      <w:r w:rsidRPr="00F5131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 Проектом бюджета представлены следующие документы и материалы:</w:t>
      </w:r>
    </w:p>
    <w:p w:rsidR="000B31ED" w:rsidRPr="00F51310" w:rsidRDefault="00F51310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31ED" w:rsidRPr="00F51310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0B31ED" w:rsidRPr="00F51310" w:rsidRDefault="00F51310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31ED" w:rsidRPr="00F51310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Славянского городского поселения</w:t>
      </w:r>
      <w:r w:rsidR="004E0BCE">
        <w:rPr>
          <w:rFonts w:ascii="Times New Roman" w:hAnsi="Times New Roman" w:cs="Times New Roman"/>
          <w:sz w:val="28"/>
          <w:szCs w:val="28"/>
        </w:rPr>
        <w:t xml:space="preserve"> </w:t>
      </w:r>
      <w:r w:rsidR="004A72D4">
        <w:rPr>
          <w:rFonts w:ascii="Times New Roman" w:hAnsi="Times New Roman" w:cs="Times New Roman"/>
          <w:sz w:val="28"/>
          <w:szCs w:val="28"/>
        </w:rPr>
        <w:t xml:space="preserve">Славянского </w:t>
      </w:r>
      <w:r w:rsidR="000B31ED" w:rsidRPr="00F51310">
        <w:rPr>
          <w:rFonts w:ascii="Times New Roman" w:hAnsi="Times New Roman" w:cs="Times New Roman"/>
          <w:sz w:val="28"/>
          <w:szCs w:val="28"/>
        </w:rPr>
        <w:t xml:space="preserve"> района 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Славянского городского поселения</w:t>
      </w:r>
      <w:r w:rsidR="000B31ED" w:rsidRPr="00F51310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0B31ED" w:rsidRPr="00F51310" w:rsidRDefault="00F51310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E5278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31ED" w:rsidRPr="00F5131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Славянского городского поселения</w:t>
      </w:r>
      <w:r w:rsidR="00EE5278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0B31ED" w:rsidRPr="00F51310">
        <w:rPr>
          <w:rFonts w:ascii="Times New Roman" w:hAnsi="Times New Roman" w:cs="Times New Roman"/>
          <w:sz w:val="28"/>
          <w:szCs w:val="28"/>
        </w:rPr>
        <w:t>;</w:t>
      </w:r>
    </w:p>
    <w:p w:rsidR="000B31ED" w:rsidRPr="00F51310" w:rsidRDefault="00BD1E25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31ED" w:rsidRPr="00F51310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 (профицит) консолидированного бюджета </w:t>
      </w:r>
      <w:r w:rsidR="00F51310">
        <w:rPr>
          <w:rFonts w:ascii="Times New Roman" w:hAnsi="Times New Roman" w:cs="Times New Roman"/>
          <w:sz w:val="28"/>
          <w:szCs w:val="28"/>
        </w:rPr>
        <w:t xml:space="preserve">Славянского городского поселения </w:t>
      </w:r>
      <w:r w:rsidR="000B31ED" w:rsidRPr="00F51310">
        <w:rPr>
          <w:rFonts w:ascii="Times New Roman" w:hAnsi="Times New Roman" w:cs="Times New Roman"/>
          <w:sz w:val="28"/>
          <w:szCs w:val="28"/>
        </w:rPr>
        <w:t>;</w:t>
      </w:r>
    </w:p>
    <w:p w:rsidR="000B31ED" w:rsidRPr="00F51310" w:rsidRDefault="00BD1E25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31ED" w:rsidRPr="00F51310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бюджета;</w:t>
      </w:r>
    </w:p>
    <w:p w:rsidR="000B31ED" w:rsidRPr="00F51310" w:rsidRDefault="00BD1E25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31ED" w:rsidRPr="00F51310">
        <w:rPr>
          <w:rFonts w:ascii="Times New Roman" w:hAnsi="Times New Roman" w:cs="Times New Roman"/>
          <w:sz w:val="28"/>
          <w:szCs w:val="28"/>
        </w:rPr>
        <w:t>оценка ожидаемого исполнения бюджета на текущий финансовый год;</w:t>
      </w:r>
    </w:p>
    <w:p w:rsidR="000B31ED" w:rsidRDefault="000B31ED" w:rsidP="000B3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ч.4 ст.169 БК РФ и п.1 ст.</w:t>
      </w:r>
      <w:r w:rsidR="00B47EF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Славянского городского поселения поселением </w:t>
      </w:r>
      <w:r w:rsidR="00C659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роект бюджета составлен на один год (очередной 201</w:t>
      </w:r>
      <w:r w:rsidR="00B47E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год). </w:t>
      </w:r>
    </w:p>
    <w:p w:rsidR="000B31ED" w:rsidRDefault="000B31ED" w:rsidP="000B31ED">
      <w:pPr>
        <w:ind w:firstLine="567"/>
        <w:jc w:val="both"/>
      </w:pPr>
    </w:p>
    <w:p w:rsidR="000B31ED" w:rsidRPr="00F51310" w:rsidRDefault="000B31ED" w:rsidP="000B31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10">
        <w:rPr>
          <w:rFonts w:ascii="Times New Roman" w:hAnsi="Times New Roman" w:cs="Times New Roman"/>
          <w:sz w:val="28"/>
          <w:szCs w:val="28"/>
        </w:rPr>
        <w:t>Проектом бюджета</w:t>
      </w:r>
      <w:r w:rsidR="00C65967">
        <w:rPr>
          <w:rFonts w:ascii="Times New Roman" w:hAnsi="Times New Roman" w:cs="Times New Roman"/>
          <w:sz w:val="28"/>
          <w:szCs w:val="28"/>
        </w:rPr>
        <w:t xml:space="preserve"> на 201</w:t>
      </w:r>
      <w:r w:rsidR="00B47EF3">
        <w:rPr>
          <w:rFonts w:ascii="Times New Roman" w:hAnsi="Times New Roman" w:cs="Times New Roman"/>
          <w:sz w:val="28"/>
          <w:szCs w:val="28"/>
        </w:rPr>
        <w:t>9</w:t>
      </w:r>
      <w:r w:rsidR="00C65967">
        <w:rPr>
          <w:rFonts w:ascii="Times New Roman" w:hAnsi="Times New Roman" w:cs="Times New Roman"/>
          <w:sz w:val="28"/>
          <w:szCs w:val="28"/>
        </w:rPr>
        <w:t xml:space="preserve"> год</w:t>
      </w:r>
      <w:r w:rsidRPr="00F51310">
        <w:rPr>
          <w:rFonts w:ascii="Times New Roman" w:hAnsi="Times New Roman" w:cs="Times New Roman"/>
          <w:sz w:val="28"/>
          <w:szCs w:val="28"/>
        </w:rPr>
        <w:t xml:space="preserve"> планируется утвердить следующие основные характеристики бюджета Славянского городского поселения на 201</w:t>
      </w:r>
      <w:r w:rsidR="00B47EF3">
        <w:rPr>
          <w:rFonts w:ascii="Times New Roman" w:hAnsi="Times New Roman" w:cs="Times New Roman"/>
          <w:sz w:val="28"/>
          <w:szCs w:val="28"/>
        </w:rPr>
        <w:t>9</w:t>
      </w:r>
      <w:r w:rsidRPr="00F51310">
        <w:rPr>
          <w:rFonts w:ascii="Times New Roman" w:hAnsi="Times New Roman" w:cs="Times New Roman"/>
          <w:sz w:val="28"/>
          <w:szCs w:val="28"/>
        </w:rPr>
        <w:t xml:space="preserve"> год в соответствии с п. 3 ст. 184.1 БК РФ,</w:t>
      </w:r>
      <w:r w:rsidR="00B47EF3">
        <w:rPr>
          <w:rFonts w:ascii="Times New Roman" w:hAnsi="Times New Roman" w:cs="Times New Roman"/>
          <w:sz w:val="28"/>
          <w:szCs w:val="28"/>
        </w:rPr>
        <w:t>п.6 ст. 21</w:t>
      </w:r>
      <w:r w:rsidRPr="00F5131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в т.ч.:</w:t>
      </w:r>
    </w:p>
    <w:p w:rsidR="004D1377" w:rsidRPr="009272D1" w:rsidRDefault="004D1377" w:rsidP="004D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 xml:space="preserve">– перечень </w:t>
      </w:r>
      <w:r>
        <w:rPr>
          <w:rFonts w:ascii="Times New Roman" w:hAnsi="Times New Roman" w:cs="Times New Roman"/>
          <w:sz w:val="28"/>
          <w:szCs w:val="28"/>
        </w:rPr>
        <w:t xml:space="preserve">видов доходов и </w:t>
      </w:r>
      <w:r w:rsidRPr="009272D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 главному администратору 992 –администрация Славянского городского поселения на 201</w:t>
      </w:r>
      <w:r w:rsidR="00B47E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272D1">
        <w:rPr>
          <w:rFonts w:ascii="Times New Roman" w:hAnsi="Times New Roman" w:cs="Times New Roman"/>
          <w:sz w:val="28"/>
          <w:szCs w:val="28"/>
        </w:rPr>
        <w:t xml:space="preserve"> (ст.23 БК РФ)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9272D1">
        <w:rPr>
          <w:rFonts w:ascii="Times New Roman" w:hAnsi="Times New Roman" w:cs="Times New Roman"/>
          <w:sz w:val="28"/>
          <w:szCs w:val="28"/>
        </w:rPr>
        <w:t>;</w:t>
      </w:r>
    </w:p>
    <w:p w:rsidR="00586E5A" w:rsidRDefault="00FD173A" w:rsidP="00586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6E5A" w:rsidRPr="009272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с перечнем кодов вида и подвидов  доходов  (ст. 20 БК РФ)</w:t>
      </w:r>
      <w:r w:rsidR="006E302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C406A">
        <w:rPr>
          <w:rFonts w:ascii="Times New Roman" w:hAnsi="Times New Roman" w:cs="Times New Roman"/>
          <w:sz w:val="28"/>
          <w:szCs w:val="28"/>
        </w:rPr>
        <w:t>2</w:t>
      </w:r>
      <w:r w:rsidR="006E3023">
        <w:rPr>
          <w:rFonts w:ascii="Times New Roman" w:hAnsi="Times New Roman" w:cs="Times New Roman"/>
          <w:sz w:val="28"/>
          <w:szCs w:val="28"/>
        </w:rPr>
        <w:t>)</w:t>
      </w:r>
      <w:r w:rsidR="00586E5A" w:rsidRPr="009272D1">
        <w:rPr>
          <w:rFonts w:ascii="Times New Roman" w:hAnsi="Times New Roman" w:cs="Times New Roman"/>
          <w:sz w:val="28"/>
          <w:szCs w:val="28"/>
        </w:rPr>
        <w:t>;</w:t>
      </w:r>
    </w:p>
    <w:p w:rsidR="004D1377" w:rsidRDefault="004D1377" w:rsidP="00586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нормативы распределений доходов в бюджет Славянского городского поселения на 201</w:t>
      </w:r>
      <w:r w:rsidR="00A44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№3);</w:t>
      </w:r>
    </w:p>
    <w:p w:rsidR="004D1377" w:rsidRDefault="004D1377" w:rsidP="00586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Поступление доходов в бюджет поселения на 201</w:t>
      </w:r>
      <w:r w:rsidR="00A44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№4);</w:t>
      </w:r>
    </w:p>
    <w:p w:rsidR="00586E5A" w:rsidRPr="009272D1" w:rsidRDefault="00586E5A" w:rsidP="00586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 (приложение</w:t>
      </w:r>
      <w:r w:rsidR="004D1377">
        <w:rPr>
          <w:rFonts w:ascii="Times New Roman" w:hAnsi="Times New Roman" w:cs="Times New Roman"/>
          <w:sz w:val="28"/>
          <w:szCs w:val="28"/>
        </w:rPr>
        <w:t xml:space="preserve"> №5, </w:t>
      </w:r>
      <w:r w:rsidRPr="009272D1">
        <w:rPr>
          <w:rFonts w:ascii="Times New Roman" w:hAnsi="Times New Roman" w:cs="Times New Roman"/>
          <w:sz w:val="28"/>
          <w:szCs w:val="28"/>
        </w:rPr>
        <w:t>№</w:t>
      </w:r>
      <w:r w:rsidR="00DC406A">
        <w:rPr>
          <w:rFonts w:ascii="Times New Roman" w:hAnsi="Times New Roman" w:cs="Times New Roman"/>
          <w:sz w:val="28"/>
          <w:szCs w:val="28"/>
        </w:rPr>
        <w:t>6</w:t>
      </w:r>
      <w:r w:rsidR="00A44C87">
        <w:rPr>
          <w:rFonts w:ascii="Times New Roman" w:hAnsi="Times New Roman" w:cs="Times New Roman"/>
          <w:sz w:val="28"/>
          <w:szCs w:val="28"/>
        </w:rPr>
        <w:t>,7</w:t>
      </w:r>
      <w:r w:rsidRPr="009272D1">
        <w:rPr>
          <w:rFonts w:ascii="Times New Roman" w:hAnsi="Times New Roman" w:cs="Times New Roman"/>
          <w:sz w:val="28"/>
          <w:szCs w:val="28"/>
        </w:rPr>
        <w:t>);</w:t>
      </w:r>
    </w:p>
    <w:p w:rsidR="00586E5A" w:rsidRPr="009272D1" w:rsidRDefault="00586E5A" w:rsidP="00586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 xml:space="preserve">– общий объем доходов бюджета в сумме </w:t>
      </w:r>
      <w:r w:rsidR="00A44C87">
        <w:rPr>
          <w:rFonts w:ascii="Times New Roman" w:hAnsi="Times New Roman" w:cs="Times New Roman"/>
          <w:sz w:val="28"/>
          <w:szCs w:val="28"/>
        </w:rPr>
        <w:t xml:space="preserve">355 477 400,00 </w:t>
      </w:r>
      <w:r w:rsidRPr="009272D1">
        <w:rPr>
          <w:rFonts w:ascii="Times New Roman" w:hAnsi="Times New Roman" w:cs="Times New Roman"/>
          <w:sz w:val="28"/>
          <w:szCs w:val="28"/>
        </w:rPr>
        <w:t>руб</w:t>
      </w:r>
      <w:r w:rsidR="00222026">
        <w:rPr>
          <w:rFonts w:ascii="Times New Roman" w:hAnsi="Times New Roman" w:cs="Times New Roman"/>
          <w:sz w:val="28"/>
          <w:szCs w:val="28"/>
        </w:rPr>
        <w:t>лей</w:t>
      </w:r>
      <w:r w:rsidRPr="009272D1">
        <w:rPr>
          <w:rFonts w:ascii="Times New Roman" w:hAnsi="Times New Roman" w:cs="Times New Roman"/>
          <w:sz w:val="28"/>
          <w:szCs w:val="28"/>
        </w:rPr>
        <w:t>(приложение №</w:t>
      </w:r>
      <w:r w:rsidR="004D1377">
        <w:rPr>
          <w:rFonts w:ascii="Times New Roman" w:hAnsi="Times New Roman" w:cs="Times New Roman"/>
          <w:sz w:val="28"/>
          <w:szCs w:val="28"/>
        </w:rPr>
        <w:t>4</w:t>
      </w:r>
      <w:r w:rsidRPr="009272D1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586E5A" w:rsidRPr="009272D1" w:rsidRDefault="00586E5A" w:rsidP="00586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 xml:space="preserve">– общий объем бюджета по расходам </w:t>
      </w:r>
      <w:r w:rsidR="00A44C87">
        <w:rPr>
          <w:rFonts w:ascii="Times New Roman" w:hAnsi="Times New Roman" w:cs="Times New Roman"/>
          <w:sz w:val="28"/>
          <w:szCs w:val="28"/>
        </w:rPr>
        <w:t>355 477 400</w:t>
      </w:r>
      <w:r w:rsidR="004D1377">
        <w:rPr>
          <w:rFonts w:ascii="Times New Roman" w:hAnsi="Times New Roman" w:cs="Times New Roman"/>
          <w:sz w:val="28"/>
          <w:szCs w:val="28"/>
        </w:rPr>
        <w:t>,</w:t>
      </w:r>
      <w:r w:rsidR="00A44C87">
        <w:rPr>
          <w:rFonts w:ascii="Times New Roman" w:hAnsi="Times New Roman" w:cs="Times New Roman"/>
          <w:sz w:val="28"/>
          <w:szCs w:val="28"/>
        </w:rPr>
        <w:t>00</w:t>
      </w:r>
      <w:r w:rsidR="004D1377">
        <w:rPr>
          <w:rFonts w:ascii="Times New Roman" w:hAnsi="Times New Roman" w:cs="Times New Roman"/>
          <w:sz w:val="28"/>
          <w:szCs w:val="28"/>
        </w:rPr>
        <w:t>тыс.</w:t>
      </w:r>
      <w:r w:rsidRPr="009272D1">
        <w:rPr>
          <w:rFonts w:ascii="Times New Roman" w:hAnsi="Times New Roman" w:cs="Times New Roman"/>
          <w:sz w:val="28"/>
          <w:szCs w:val="28"/>
        </w:rPr>
        <w:t>руб</w:t>
      </w:r>
      <w:r w:rsidR="00222026">
        <w:rPr>
          <w:rFonts w:ascii="Times New Roman" w:hAnsi="Times New Roman" w:cs="Times New Roman"/>
          <w:sz w:val="28"/>
          <w:szCs w:val="28"/>
        </w:rPr>
        <w:t>лей</w:t>
      </w:r>
      <w:r w:rsidRPr="009272D1">
        <w:rPr>
          <w:rFonts w:ascii="Times New Roman" w:hAnsi="Times New Roman" w:cs="Times New Roman"/>
          <w:sz w:val="28"/>
          <w:szCs w:val="28"/>
        </w:rPr>
        <w:t>(приложение №5);</w:t>
      </w:r>
    </w:p>
    <w:p w:rsidR="00586E5A" w:rsidRPr="009272D1" w:rsidRDefault="00586E5A" w:rsidP="00586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 xml:space="preserve"> – объем профицита (дефицита) бюджета в сумме </w:t>
      </w:r>
      <w:r w:rsidR="00222026">
        <w:rPr>
          <w:rFonts w:ascii="Times New Roman" w:hAnsi="Times New Roman" w:cs="Times New Roman"/>
          <w:sz w:val="28"/>
          <w:szCs w:val="28"/>
        </w:rPr>
        <w:t xml:space="preserve">0 </w:t>
      </w:r>
      <w:r w:rsidRPr="009272D1">
        <w:rPr>
          <w:rFonts w:ascii="Times New Roman" w:hAnsi="Times New Roman" w:cs="Times New Roman"/>
          <w:sz w:val="28"/>
          <w:szCs w:val="28"/>
        </w:rPr>
        <w:t xml:space="preserve"> руб</w:t>
      </w:r>
      <w:r w:rsidR="00222026">
        <w:rPr>
          <w:rFonts w:ascii="Times New Roman" w:hAnsi="Times New Roman" w:cs="Times New Roman"/>
          <w:sz w:val="28"/>
          <w:szCs w:val="28"/>
        </w:rPr>
        <w:t>лей</w:t>
      </w:r>
      <w:r w:rsidR="0068475B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="00815093">
        <w:rPr>
          <w:rFonts w:ascii="Times New Roman" w:hAnsi="Times New Roman" w:cs="Times New Roman"/>
          <w:sz w:val="28"/>
          <w:szCs w:val="28"/>
        </w:rPr>
        <w:t>2</w:t>
      </w:r>
      <w:r w:rsidR="0068475B">
        <w:rPr>
          <w:rFonts w:ascii="Times New Roman" w:hAnsi="Times New Roman" w:cs="Times New Roman"/>
          <w:sz w:val="28"/>
          <w:szCs w:val="28"/>
        </w:rPr>
        <w:t>)</w:t>
      </w:r>
      <w:r w:rsidRPr="009272D1">
        <w:rPr>
          <w:rFonts w:ascii="Times New Roman" w:hAnsi="Times New Roman" w:cs="Times New Roman"/>
          <w:sz w:val="28"/>
          <w:szCs w:val="28"/>
        </w:rPr>
        <w:t>;</w:t>
      </w:r>
    </w:p>
    <w:p w:rsidR="00586E5A" w:rsidRPr="009272D1" w:rsidRDefault="00586E5A" w:rsidP="00586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объем бюджетных ассигнований на исполнение публично-нормативных обязательств в сумме </w:t>
      </w:r>
      <w:r w:rsidR="00AD07B3">
        <w:rPr>
          <w:rFonts w:ascii="Times New Roman" w:hAnsi="Times New Roman" w:cs="Times New Roman"/>
          <w:color w:val="000000" w:themeColor="text1"/>
          <w:sz w:val="28"/>
          <w:szCs w:val="28"/>
        </w:rPr>
        <w:t>410600,0</w:t>
      </w:r>
      <w:r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684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состоят:</w:t>
      </w:r>
    </w:p>
    <w:p w:rsidR="00586E5A" w:rsidRPr="00C65967" w:rsidRDefault="00586E5A" w:rsidP="00586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из социальной поддержки граждан оказавшихся в трудной жизненной ситуации в сумме </w:t>
      </w:r>
      <w:r w:rsidR="003C1948"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="00C56BB6"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1948" w:rsidRPr="00C65967" w:rsidRDefault="003C1948" w:rsidP="00586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обеспечение жильем молодых семей </w:t>
      </w:r>
      <w:r w:rsidR="00AD07B3">
        <w:rPr>
          <w:rFonts w:ascii="Times New Roman" w:hAnsi="Times New Roman" w:cs="Times New Roman"/>
          <w:color w:val="000000" w:themeColor="text1"/>
          <w:sz w:val="28"/>
          <w:szCs w:val="28"/>
        </w:rPr>
        <w:t>3906000,0</w:t>
      </w:r>
      <w:r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586E5A" w:rsidRPr="00C65967" w:rsidRDefault="00586E5A" w:rsidP="00586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общих расходов указанные расходы составляют </w:t>
      </w:r>
      <w:r w:rsidR="00064F0A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Pr="00C65967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FD173A" w:rsidRPr="00C65967" w:rsidRDefault="00FD173A" w:rsidP="00694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E5A" w:rsidRPr="001D6C0F" w:rsidRDefault="00D5645D" w:rsidP="00694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E5A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редельный объем муниципального внутреннего долга установлен в сумме </w:t>
      </w:r>
      <w:r w:rsidR="00FD39BF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="00064F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86E5A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06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</w:t>
      </w:r>
      <w:r w:rsidR="00FD173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06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86E5A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C328A8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06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(ст.15 Проекта бюджета)</w:t>
      </w:r>
      <w:r w:rsidR="00586E5A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, верхний предел муниципального внутреннего долга по состоянию на 1 января 20</w:t>
      </w:r>
      <w:r w:rsidR="00064F0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86E5A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составит </w:t>
      </w:r>
      <w:r w:rsidR="0006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114 412 500,00 </w:t>
      </w:r>
      <w:r w:rsidR="00586E5A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C328A8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86E5A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, с установлением верхнего предела долга по муниципальным гарантиям в сумме 0 руб., что не противоречит бюджетному законодательству</w:t>
      </w:r>
      <w:r w:rsidR="00FD39BF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(статья 1</w:t>
      </w:r>
      <w:r w:rsidR="00D146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39BF" w:rsidRPr="009272D1">
        <w:rPr>
          <w:rFonts w:ascii="Times New Roman" w:hAnsi="Times New Roman" w:cs="Times New Roman"/>
          <w:color w:val="000000" w:themeColor="text1"/>
          <w:sz w:val="28"/>
          <w:szCs w:val="28"/>
        </w:rPr>
        <w:t>роекта решения)</w:t>
      </w:r>
      <w:r w:rsidR="00D1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не противоречит </w:t>
      </w:r>
      <w:r w:rsidR="00657EAE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D146EC" w:rsidRPr="001D6C0F">
        <w:rPr>
          <w:rFonts w:ascii="Times New Roman" w:hAnsi="Times New Roman" w:cs="Times New Roman"/>
          <w:color w:val="000000" w:themeColor="text1"/>
          <w:sz w:val="28"/>
          <w:szCs w:val="28"/>
        </w:rPr>
        <w:t>ст.106-107 БК РФ,</w:t>
      </w:r>
      <w:r w:rsidR="004E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6EC" w:rsidRPr="001D6C0F">
        <w:rPr>
          <w:rFonts w:ascii="Times New Roman" w:hAnsi="Times New Roman" w:cs="Times New Roman"/>
          <w:color w:val="000000" w:themeColor="text1"/>
          <w:sz w:val="28"/>
          <w:szCs w:val="28"/>
        </w:rPr>
        <w:t>который не должен превышать сумме получаемых доходов</w:t>
      </w:r>
      <w:r w:rsidR="00C65967" w:rsidRPr="001D6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утвержденного объема безвозмездных поступлений</w:t>
      </w:r>
      <w:r w:rsidRPr="001D6C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E5A" w:rsidRPr="009272D1" w:rsidRDefault="00D5645D" w:rsidP="00586E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6E5A" w:rsidRPr="009272D1">
        <w:rPr>
          <w:rFonts w:ascii="Times New Roman" w:hAnsi="Times New Roman" w:cs="Times New Roman"/>
          <w:sz w:val="28"/>
          <w:szCs w:val="28"/>
        </w:rPr>
        <w:t xml:space="preserve">становлен предельный объем расходов на обслуживание муниципального долга в сумме </w:t>
      </w:r>
      <w:r w:rsidR="00064F0A">
        <w:rPr>
          <w:rFonts w:ascii="Times New Roman" w:hAnsi="Times New Roman" w:cs="Times New Roman"/>
          <w:sz w:val="28"/>
          <w:szCs w:val="28"/>
        </w:rPr>
        <w:t>15 </w:t>
      </w:r>
      <w:r w:rsidR="00586E5A" w:rsidRPr="009272D1">
        <w:rPr>
          <w:rFonts w:ascii="Times New Roman" w:hAnsi="Times New Roman" w:cs="Times New Roman"/>
          <w:sz w:val="28"/>
          <w:szCs w:val="28"/>
        </w:rPr>
        <w:t>000</w:t>
      </w:r>
      <w:r w:rsidR="00064F0A">
        <w:rPr>
          <w:rFonts w:ascii="Times New Roman" w:hAnsi="Times New Roman" w:cs="Times New Roman"/>
          <w:sz w:val="28"/>
          <w:szCs w:val="28"/>
        </w:rPr>
        <w:t xml:space="preserve"> 000</w:t>
      </w:r>
      <w:r w:rsidR="00FD173A">
        <w:rPr>
          <w:rFonts w:ascii="Times New Roman" w:hAnsi="Times New Roman" w:cs="Times New Roman"/>
          <w:sz w:val="28"/>
          <w:szCs w:val="28"/>
        </w:rPr>
        <w:t>,</w:t>
      </w:r>
      <w:r w:rsidR="00064F0A">
        <w:rPr>
          <w:rFonts w:ascii="Times New Roman" w:hAnsi="Times New Roman" w:cs="Times New Roman"/>
          <w:sz w:val="28"/>
          <w:szCs w:val="28"/>
        </w:rPr>
        <w:t>0</w:t>
      </w:r>
      <w:r w:rsidR="00FD173A">
        <w:rPr>
          <w:rFonts w:ascii="Times New Roman" w:hAnsi="Times New Roman" w:cs="Times New Roman"/>
          <w:sz w:val="28"/>
          <w:szCs w:val="28"/>
        </w:rPr>
        <w:t>0</w:t>
      </w:r>
      <w:r w:rsidR="00586E5A" w:rsidRPr="009272D1">
        <w:rPr>
          <w:rFonts w:ascii="Times New Roman" w:hAnsi="Times New Roman" w:cs="Times New Roman"/>
          <w:sz w:val="28"/>
          <w:szCs w:val="28"/>
        </w:rPr>
        <w:t xml:space="preserve"> руб</w:t>
      </w:r>
      <w:r w:rsidR="00C328A8">
        <w:rPr>
          <w:rFonts w:ascii="Times New Roman" w:hAnsi="Times New Roman" w:cs="Times New Roman"/>
          <w:sz w:val="28"/>
          <w:szCs w:val="28"/>
        </w:rPr>
        <w:t>лей</w:t>
      </w:r>
      <w:r w:rsidR="00586E5A" w:rsidRPr="009272D1">
        <w:rPr>
          <w:rFonts w:ascii="Times New Roman" w:hAnsi="Times New Roman" w:cs="Times New Roman"/>
          <w:sz w:val="28"/>
          <w:szCs w:val="28"/>
        </w:rPr>
        <w:t xml:space="preserve"> или </w:t>
      </w:r>
      <w:r w:rsidR="00064F0A">
        <w:rPr>
          <w:rFonts w:ascii="Times New Roman" w:hAnsi="Times New Roman" w:cs="Times New Roman"/>
          <w:sz w:val="28"/>
          <w:szCs w:val="28"/>
        </w:rPr>
        <w:t>4,2</w:t>
      </w:r>
      <w:r w:rsidR="00586E5A" w:rsidRPr="009272D1">
        <w:rPr>
          <w:rFonts w:ascii="Times New Roman" w:hAnsi="Times New Roman" w:cs="Times New Roman"/>
          <w:sz w:val="28"/>
          <w:szCs w:val="28"/>
        </w:rPr>
        <w:t>% (статья 1</w:t>
      </w:r>
      <w:r w:rsidR="00D146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86E5A" w:rsidRPr="009272D1">
        <w:rPr>
          <w:rFonts w:ascii="Times New Roman" w:hAnsi="Times New Roman" w:cs="Times New Roman"/>
          <w:sz w:val="28"/>
          <w:szCs w:val="28"/>
        </w:rPr>
        <w:t>роекта решения),</w:t>
      </w:r>
      <w:r w:rsidR="004E0BCE">
        <w:rPr>
          <w:rFonts w:ascii="Times New Roman" w:hAnsi="Times New Roman" w:cs="Times New Roman"/>
          <w:sz w:val="28"/>
          <w:szCs w:val="28"/>
        </w:rPr>
        <w:t xml:space="preserve"> </w:t>
      </w:r>
      <w:r w:rsidR="00586E5A" w:rsidRPr="009272D1">
        <w:rPr>
          <w:rFonts w:ascii="Times New Roman" w:hAnsi="Times New Roman" w:cs="Times New Roman"/>
          <w:sz w:val="28"/>
          <w:szCs w:val="28"/>
        </w:rPr>
        <w:t>что не противоречит ч.1 ст. 111 БК РФ, который не должен превышать 15 процентов объема расходов бюджета за минусом получаемых субвенций.</w:t>
      </w:r>
    </w:p>
    <w:p w:rsidR="00586E5A" w:rsidRPr="009272D1" w:rsidRDefault="00586E5A" w:rsidP="00586E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Статьей 2</w:t>
      </w:r>
      <w:r w:rsidR="00D146EC">
        <w:rPr>
          <w:rFonts w:ascii="Times New Roman" w:hAnsi="Times New Roman" w:cs="Times New Roman"/>
          <w:sz w:val="28"/>
          <w:szCs w:val="28"/>
        </w:rPr>
        <w:t>7</w:t>
      </w:r>
      <w:r w:rsidR="00D5645D">
        <w:rPr>
          <w:rFonts w:ascii="Times New Roman" w:hAnsi="Times New Roman" w:cs="Times New Roman"/>
          <w:sz w:val="28"/>
          <w:szCs w:val="28"/>
        </w:rPr>
        <w:t>П</w:t>
      </w:r>
      <w:r w:rsidRPr="009272D1">
        <w:rPr>
          <w:rFonts w:ascii="Times New Roman" w:hAnsi="Times New Roman" w:cs="Times New Roman"/>
          <w:sz w:val="28"/>
          <w:szCs w:val="28"/>
        </w:rPr>
        <w:t>роекта бюджета (приложения №1</w:t>
      </w:r>
      <w:r w:rsidR="00547982">
        <w:rPr>
          <w:rFonts w:ascii="Times New Roman" w:hAnsi="Times New Roman" w:cs="Times New Roman"/>
          <w:sz w:val="28"/>
          <w:szCs w:val="28"/>
        </w:rPr>
        <w:t>3</w:t>
      </w:r>
      <w:r w:rsidR="005B1262" w:rsidRPr="009272D1">
        <w:rPr>
          <w:rFonts w:ascii="Times New Roman" w:hAnsi="Times New Roman" w:cs="Times New Roman"/>
          <w:sz w:val="28"/>
          <w:szCs w:val="28"/>
        </w:rPr>
        <w:t>,1</w:t>
      </w:r>
      <w:r w:rsidR="00547982">
        <w:rPr>
          <w:rFonts w:ascii="Times New Roman" w:hAnsi="Times New Roman" w:cs="Times New Roman"/>
          <w:sz w:val="28"/>
          <w:szCs w:val="28"/>
        </w:rPr>
        <w:t xml:space="preserve">4 </w:t>
      </w:r>
      <w:r w:rsidRPr="009272D1">
        <w:rPr>
          <w:rFonts w:ascii="Times New Roman" w:hAnsi="Times New Roman" w:cs="Times New Roman"/>
          <w:sz w:val="28"/>
          <w:szCs w:val="28"/>
        </w:rPr>
        <w:t xml:space="preserve"> к проекту бюджета) установлена возможность предоставления субсидий юридическим лицам - производителям товаров, работ, услуг в целях возмещения затрат или недополученных доходов в связи с производством (реализацией) товаров, выполнением работ, оказанием услуг на безвозмездной и безвозвратной основе. Категории и (или) критерии отбора юридических лиц, индивидуальных предпринимателей и физических лиц - производителей товаров, работ, услуг, имеющих право на получение субсидий, цели, порядок и условия их предоставления, порядок возврата субсидий в случае нарушения условий, установленных при их предоставлении, установлены правовыми актами администрации городского поселения., что соответствует условиям ст.80 БК РФ.</w:t>
      </w:r>
    </w:p>
    <w:p w:rsidR="00586E5A" w:rsidRPr="009272D1" w:rsidRDefault="00586E5A" w:rsidP="00586E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Статьей 1</w:t>
      </w:r>
      <w:r w:rsidR="00D146EC">
        <w:rPr>
          <w:rFonts w:ascii="Times New Roman" w:hAnsi="Times New Roman" w:cs="Times New Roman"/>
          <w:sz w:val="28"/>
          <w:szCs w:val="28"/>
        </w:rPr>
        <w:t>2</w:t>
      </w:r>
      <w:r w:rsidR="00D5645D">
        <w:rPr>
          <w:rFonts w:ascii="Times New Roman" w:hAnsi="Times New Roman" w:cs="Times New Roman"/>
          <w:sz w:val="28"/>
          <w:szCs w:val="28"/>
        </w:rPr>
        <w:t>П</w:t>
      </w:r>
      <w:r w:rsidRPr="009272D1">
        <w:rPr>
          <w:rFonts w:ascii="Times New Roman" w:hAnsi="Times New Roman" w:cs="Times New Roman"/>
          <w:sz w:val="28"/>
          <w:szCs w:val="28"/>
        </w:rPr>
        <w:t>роекта бюджета установлен размер резервного фонда в сумме 2</w:t>
      </w:r>
      <w:r w:rsidR="00547982">
        <w:rPr>
          <w:rFonts w:ascii="Times New Roman" w:hAnsi="Times New Roman" w:cs="Times New Roman"/>
          <w:sz w:val="28"/>
          <w:szCs w:val="28"/>
        </w:rPr>
        <w:t> </w:t>
      </w:r>
      <w:r w:rsidRPr="009272D1">
        <w:rPr>
          <w:rFonts w:ascii="Times New Roman" w:hAnsi="Times New Roman" w:cs="Times New Roman"/>
          <w:sz w:val="28"/>
          <w:szCs w:val="28"/>
        </w:rPr>
        <w:t>0</w:t>
      </w:r>
      <w:r w:rsidR="00547982">
        <w:rPr>
          <w:rFonts w:ascii="Times New Roman" w:hAnsi="Times New Roman" w:cs="Times New Roman"/>
          <w:sz w:val="28"/>
          <w:szCs w:val="28"/>
        </w:rPr>
        <w:t>00 000</w:t>
      </w:r>
      <w:r w:rsidR="00FD173A">
        <w:rPr>
          <w:rFonts w:ascii="Times New Roman" w:hAnsi="Times New Roman" w:cs="Times New Roman"/>
          <w:sz w:val="28"/>
          <w:szCs w:val="28"/>
        </w:rPr>
        <w:t> ,</w:t>
      </w:r>
      <w:r w:rsidR="00547982">
        <w:rPr>
          <w:rFonts w:ascii="Times New Roman" w:hAnsi="Times New Roman" w:cs="Times New Roman"/>
          <w:sz w:val="28"/>
          <w:szCs w:val="28"/>
        </w:rPr>
        <w:t xml:space="preserve">0 </w:t>
      </w:r>
      <w:r w:rsidRPr="009272D1">
        <w:rPr>
          <w:rFonts w:ascii="Times New Roman" w:hAnsi="Times New Roman" w:cs="Times New Roman"/>
          <w:sz w:val="28"/>
          <w:szCs w:val="28"/>
        </w:rPr>
        <w:t>руб</w:t>
      </w:r>
      <w:r w:rsidR="00C328A8">
        <w:rPr>
          <w:rFonts w:ascii="Times New Roman" w:hAnsi="Times New Roman" w:cs="Times New Roman"/>
          <w:sz w:val="28"/>
          <w:szCs w:val="28"/>
        </w:rPr>
        <w:t>лей</w:t>
      </w:r>
      <w:r w:rsidR="006160A3">
        <w:rPr>
          <w:rFonts w:ascii="Times New Roman" w:hAnsi="Times New Roman" w:cs="Times New Roman"/>
          <w:sz w:val="28"/>
          <w:szCs w:val="28"/>
        </w:rPr>
        <w:t>,</w:t>
      </w:r>
      <w:r w:rsidRPr="009272D1">
        <w:rPr>
          <w:rFonts w:ascii="Times New Roman" w:hAnsi="Times New Roman" w:cs="Times New Roman"/>
          <w:sz w:val="28"/>
          <w:szCs w:val="28"/>
        </w:rPr>
        <w:t xml:space="preserve"> что составляет</w:t>
      </w:r>
      <w:r w:rsidR="006160A3">
        <w:rPr>
          <w:rFonts w:ascii="Times New Roman" w:hAnsi="Times New Roman" w:cs="Times New Roman"/>
          <w:sz w:val="28"/>
          <w:szCs w:val="28"/>
        </w:rPr>
        <w:t xml:space="preserve"> 0,</w:t>
      </w:r>
      <w:r w:rsidR="00547982">
        <w:rPr>
          <w:rFonts w:ascii="Times New Roman" w:hAnsi="Times New Roman" w:cs="Times New Roman"/>
          <w:sz w:val="28"/>
          <w:szCs w:val="28"/>
        </w:rPr>
        <w:t>6%</w:t>
      </w:r>
      <w:r w:rsidRPr="009272D1">
        <w:rPr>
          <w:rFonts w:ascii="Times New Roman" w:hAnsi="Times New Roman" w:cs="Times New Roman"/>
          <w:sz w:val="28"/>
          <w:szCs w:val="28"/>
        </w:rPr>
        <w:t xml:space="preserve">, от общего объема расходов и не превышает 3% объема расходов установленного ст. 81 БК РФ. </w:t>
      </w:r>
    </w:p>
    <w:p w:rsidR="00586E5A" w:rsidRPr="009272D1" w:rsidRDefault="00586E5A" w:rsidP="00586E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 xml:space="preserve">Статьей 6 </w:t>
      </w:r>
      <w:r w:rsidR="00D5645D">
        <w:rPr>
          <w:rFonts w:ascii="Times New Roman" w:hAnsi="Times New Roman" w:cs="Times New Roman"/>
          <w:sz w:val="28"/>
          <w:szCs w:val="28"/>
        </w:rPr>
        <w:t>П</w:t>
      </w:r>
      <w:r w:rsidRPr="009272D1">
        <w:rPr>
          <w:rFonts w:ascii="Times New Roman" w:hAnsi="Times New Roman" w:cs="Times New Roman"/>
          <w:sz w:val="28"/>
          <w:szCs w:val="28"/>
        </w:rPr>
        <w:t xml:space="preserve">роекта бюджета установлен объем бюджетных ассигнований  дорожного фонда в сумме </w:t>
      </w:r>
      <w:r w:rsidR="00547982">
        <w:rPr>
          <w:rFonts w:ascii="Times New Roman" w:hAnsi="Times New Roman" w:cs="Times New Roman"/>
          <w:sz w:val="28"/>
          <w:szCs w:val="28"/>
        </w:rPr>
        <w:t>25 866 200,00</w:t>
      </w:r>
      <w:r w:rsidR="00C56BB6">
        <w:rPr>
          <w:rFonts w:ascii="Times New Roman" w:hAnsi="Times New Roman" w:cs="Times New Roman"/>
          <w:sz w:val="28"/>
          <w:szCs w:val="28"/>
        </w:rPr>
        <w:t>.</w:t>
      </w:r>
      <w:r w:rsidRPr="009272D1">
        <w:rPr>
          <w:rFonts w:ascii="Times New Roman" w:hAnsi="Times New Roman" w:cs="Times New Roman"/>
          <w:sz w:val="28"/>
          <w:szCs w:val="28"/>
        </w:rPr>
        <w:t>руб</w:t>
      </w:r>
      <w:r w:rsidR="00C328A8">
        <w:rPr>
          <w:rFonts w:ascii="Times New Roman" w:hAnsi="Times New Roman" w:cs="Times New Roman"/>
          <w:sz w:val="28"/>
          <w:szCs w:val="28"/>
        </w:rPr>
        <w:t>лей</w:t>
      </w:r>
      <w:r w:rsidRPr="009272D1">
        <w:rPr>
          <w:rFonts w:ascii="Times New Roman" w:hAnsi="Times New Roman" w:cs="Times New Roman"/>
          <w:sz w:val="28"/>
          <w:szCs w:val="28"/>
        </w:rPr>
        <w:t xml:space="preserve">, средства которого будут направлены на ремонт дорог по поселению. </w:t>
      </w:r>
    </w:p>
    <w:p w:rsidR="007D4E54" w:rsidRDefault="007D4E54" w:rsidP="007D4E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547982">
        <w:rPr>
          <w:rFonts w:ascii="Times New Roman" w:hAnsi="Times New Roman" w:cs="Times New Roman"/>
          <w:sz w:val="28"/>
          <w:szCs w:val="28"/>
        </w:rPr>
        <w:t>ями 13-14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бюджета предусмотрено повышение заработной платы отдельным работникам бюджетной сферы</w:t>
      </w:r>
      <w:r w:rsidR="00547982">
        <w:rPr>
          <w:rFonts w:ascii="Times New Roman" w:hAnsi="Times New Roman" w:cs="Times New Roman"/>
          <w:sz w:val="28"/>
          <w:szCs w:val="28"/>
        </w:rPr>
        <w:t xml:space="preserve"> и увеличение размеров денежных вознаграждений муниципальным служащим и должностным лицам замещающие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размере 5%</w:t>
      </w:r>
      <w:r w:rsidRPr="009272D1">
        <w:rPr>
          <w:rFonts w:ascii="Times New Roman" w:hAnsi="Times New Roman" w:cs="Times New Roman"/>
          <w:sz w:val="28"/>
          <w:szCs w:val="28"/>
        </w:rPr>
        <w:t>.</w:t>
      </w:r>
    </w:p>
    <w:p w:rsidR="007D4E54" w:rsidRPr="009272D1" w:rsidRDefault="00547982" w:rsidP="00586E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13  Проекта бюджета рекомендовано рассмотреть вопрос по оптимизации штатной численности муниципальных служащих и расходов на их содержание.</w:t>
      </w:r>
    </w:p>
    <w:p w:rsidR="00586E5A" w:rsidRDefault="00586E5A" w:rsidP="0058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Стать</w:t>
      </w:r>
      <w:r w:rsidR="008C7925">
        <w:rPr>
          <w:rFonts w:ascii="Times New Roman" w:hAnsi="Times New Roman" w:cs="Times New Roman"/>
          <w:sz w:val="28"/>
          <w:szCs w:val="28"/>
        </w:rPr>
        <w:t>ями 22</w:t>
      </w:r>
      <w:r w:rsidRPr="009272D1">
        <w:rPr>
          <w:rFonts w:ascii="Times New Roman" w:hAnsi="Times New Roman" w:cs="Times New Roman"/>
          <w:sz w:val="28"/>
          <w:szCs w:val="28"/>
        </w:rPr>
        <w:t>-2</w:t>
      </w:r>
      <w:r w:rsidR="008C7925">
        <w:rPr>
          <w:rFonts w:ascii="Times New Roman" w:hAnsi="Times New Roman" w:cs="Times New Roman"/>
          <w:sz w:val="28"/>
          <w:szCs w:val="28"/>
        </w:rPr>
        <w:t>5</w:t>
      </w:r>
      <w:r w:rsidR="00D5645D">
        <w:rPr>
          <w:rFonts w:ascii="Times New Roman" w:hAnsi="Times New Roman" w:cs="Times New Roman"/>
          <w:sz w:val="28"/>
          <w:szCs w:val="28"/>
        </w:rPr>
        <w:t>П</w:t>
      </w:r>
      <w:r w:rsidRPr="009272D1">
        <w:rPr>
          <w:rFonts w:ascii="Times New Roman" w:hAnsi="Times New Roman" w:cs="Times New Roman"/>
          <w:sz w:val="28"/>
          <w:szCs w:val="28"/>
        </w:rPr>
        <w:t xml:space="preserve">роекта бюджета предусмотрено заключение и оплата муниципальными учреждениями и органами местного самоуправления договоров в пределах утвержденных лимитов бюджетных обязательств, что предусмотрено </w:t>
      </w:r>
      <w:r w:rsidRPr="00FD173A">
        <w:rPr>
          <w:rFonts w:ascii="Times New Roman" w:hAnsi="Times New Roman" w:cs="Times New Roman"/>
          <w:color w:val="000000" w:themeColor="text1"/>
          <w:sz w:val="28"/>
          <w:szCs w:val="28"/>
        </w:rPr>
        <w:t>ст. 158,161-162 БК РФ</w:t>
      </w:r>
      <w:r w:rsidRPr="009272D1">
        <w:rPr>
          <w:rFonts w:ascii="Times New Roman" w:hAnsi="Times New Roman" w:cs="Times New Roman"/>
          <w:sz w:val="28"/>
          <w:szCs w:val="28"/>
        </w:rPr>
        <w:t>. В случае заключения договоров не обеспеченными лимитами  бюджетных обязательств подлежат признанию недействительными</w:t>
      </w:r>
      <w:r w:rsidR="008C74DB">
        <w:rPr>
          <w:rFonts w:ascii="Times New Roman" w:hAnsi="Times New Roman" w:cs="Times New Roman"/>
          <w:sz w:val="28"/>
          <w:szCs w:val="28"/>
        </w:rPr>
        <w:t>.</w:t>
      </w:r>
    </w:p>
    <w:p w:rsidR="008C74DB" w:rsidRDefault="008C74DB" w:rsidP="008C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4DB" w:rsidRPr="009272D1" w:rsidRDefault="008C74DB" w:rsidP="008C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72D1">
        <w:rPr>
          <w:rFonts w:ascii="Times New Roman" w:hAnsi="Times New Roman" w:cs="Times New Roman"/>
          <w:sz w:val="28"/>
          <w:szCs w:val="28"/>
        </w:rPr>
        <w:t>роект решения «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>О бюджете</w:t>
      </w:r>
      <w:r w:rsidRPr="009272D1">
        <w:rPr>
          <w:rFonts w:ascii="Times New Roman" w:hAnsi="Times New Roman" w:cs="Times New Roman"/>
          <w:sz w:val="28"/>
          <w:szCs w:val="28"/>
        </w:rPr>
        <w:t xml:space="preserve"> Славянского городского поселения на 201</w:t>
      </w:r>
      <w:r w:rsidR="006C483A">
        <w:rPr>
          <w:rFonts w:ascii="Times New Roman" w:hAnsi="Times New Roman" w:cs="Times New Roman"/>
          <w:sz w:val="28"/>
          <w:szCs w:val="28"/>
        </w:rPr>
        <w:t>9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9272D1">
        <w:rPr>
          <w:rFonts w:ascii="Times New Roman" w:hAnsi="Times New Roman" w:cs="Times New Roman"/>
          <w:sz w:val="28"/>
          <w:szCs w:val="28"/>
        </w:rPr>
        <w:t>»</w:t>
      </w:r>
      <w:r w:rsidR="004E0BCE">
        <w:rPr>
          <w:rFonts w:ascii="Times New Roman" w:hAnsi="Times New Roman" w:cs="Times New Roman"/>
          <w:sz w:val="28"/>
          <w:szCs w:val="28"/>
        </w:rPr>
        <w:t xml:space="preserve"> </w:t>
      </w:r>
      <w:r w:rsidRPr="009272D1">
        <w:rPr>
          <w:rFonts w:ascii="Times New Roman" w:hAnsi="Times New Roman" w:cs="Times New Roman"/>
          <w:sz w:val="28"/>
          <w:szCs w:val="28"/>
        </w:rPr>
        <w:t>соответствует требованиям ст. 184.2 БК РФ в части полноты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2D1">
        <w:rPr>
          <w:rFonts w:ascii="Times New Roman" w:hAnsi="Times New Roman" w:cs="Times New Roman"/>
          <w:sz w:val="28"/>
          <w:szCs w:val="28"/>
        </w:rPr>
        <w:t xml:space="preserve"> представленных одновременно с проектом решения документов и материалов. </w:t>
      </w:r>
    </w:p>
    <w:p w:rsidR="008C74DB" w:rsidRPr="009272D1" w:rsidRDefault="008C74DB" w:rsidP="0058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2C" w:rsidRPr="009272D1" w:rsidRDefault="00CB292C" w:rsidP="00CB2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D5645D">
        <w:rPr>
          <w:rFonts w:ascii="Times New Roman" w:hAnsi="Times New Roman" w:cs="Times New Roman"/>
          <w:sz w:val="28"/>
          <w:szCs w:val="28"/>
        </w:rPr>
        <w:t>П</w:t>
      </w:r>
      <w:r w:rsidRPr="009272D1">
        <w:rPr>
          <w:rFonts w:ascii="Times New Roman" w:hAnsi="Times New Roman" w:cs="Times New Roman"/>
          <w:sz w:val="28"/>
          <w:szCs w:val="28"/>
        </w:rPr>
        <w:t>роекта бюджета  приведены в таблице:</w:t>
      </w:r>
    </w:p>
    <w:p w:rsidR="00CB292C" w:rsidRPr="009272D1" w:rsidRDefault="00CB292C" w:rsidP="005B1262">
      <w:pPr>
        <w:ind w:left="7788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545" w:type="dxa"/>
        <w:tblInd w:w="103" w:type="dxa"/>
        <w:tblLook w:val="04A0" w:firstRow="1" w:lastRow="0" w:firstColumn="1" w:lastColumn="0" w:noHBand="0" w:noVBand="1"/>
      </w:tblPr>
      <w:tblGrid>
        <w:gridCol w:w="7725"/>
        <w:gridCol w:w="1820"/>
      </w:tblGrid>
      <w:tr w:rsidR="00CB292C" w:rsidTr="00CB292C">
        <w:trPr>
          <w:trHeight w:val="481"/>
        </w:trPr>
        <w:tc>
          <w:tcPr>
            <w:tcW w:w="7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8C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Бюджет 201</w:t>
            </w:r>
            <w:r w:rsidR="008C79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B292C" w:rsidTr="00CB292C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92C" w:rsidTr="00CB292C">
        <w:trPr>
          <w:trHeight w:val="392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7E7254" w:rsidP="006C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483A">
              <w:rPr>
                <w:rFonts w:ascii="Times New Roman" w:hAnsi="Times New Roman" w:cs="Times New Roman"/>
                <w:sz w:val="20"/>
                <w:szCs w:val="20"/>
              </w:rPr>
              <w:t>55477,4</w:t>
            </w:r>
          </w:p>
        </w:tc>
      </w:tr>
      <w:tr w:rsidR="00CB292C" w:rsidTr="00CB292C">
        <w:trPr>
          <w:trHeight w:val="392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C483A" w:rsidP="006C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355477,4</w:t>
            </w:r>
          </w:p>
        </w:tc>
      </w:tr>
      <w:tr w:rsidR="00CB292C" w:rsidTr="00CB292C">
        <w:trPr>
          <w:trHeight w:val="392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9272D1" w:rsidRDefault="008C7925" w:rsidP="008C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Профицит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9272D1" w:rsidRDefault="006C483A" w:rsidP="006C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292C" w:rsidTr="00CB292C">
        <w:trPr>
          <w:trHeight w:val="371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8C7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 </w:t>
            </w:r>
            <w:r w:rsidR="008C7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профицита </w:t>
            </w: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годового объема доходов бюджета города без утвержденного объема безвозмездных поступлений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9272D1" w:rsidRDefault="006C483A" w:rsidP="008C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292C" w:rsidTr="00CB292C">
        <w:trPr>
          <w:trHeight w:val="320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9272D1" w:rsidRDefault="007E7254" w:rsidP="006C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48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292C" w:rsidTr="00CB292C">
        <w:trPr>
          <w:trHeight w:val="329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 резервного фонда </w:t>
            </w: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 xml:space="preserve">от общей суммы расходов, </w:t>
            </w: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значение - 3%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9272D1" w:rsidRDefault="00CB292C" w:rsidP="006C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C483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CB292C" w:rsidTr="00CB292C">
        <w:trPr>
          <w:trHeight w:val="211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9272D1" w:rsidRDefault="006C483A" w:rsidP="006C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  <w:r w:rsidR="00EE53B7" w:rsidRPr="009272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292C" w:rsidTr="00CB292C">
        <w:trPr>
          <w:trHeight w:val="782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 расходов на обслуживание муниципального долга</w:t>
            </w: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 xml:space="preserve"> от объема расходов, за исключением расходов, осуществляемых за счет субвенций, </w:t>
            </w: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значение - 15%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9272D1" w:rsidRDefault="006C483A" w:rsidP="006C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8C79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292C" w:rsidRPr="009272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B292C" w:rsidTr="00CB292C">
        <w:trPr>
          <w:trHeight w:val="320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883A4B" w:rsidRDefault="007D1059" w:rsidP="007D1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13646,2</w:t>
            </w:r>
          </w:p>
        </w:tc>
      </w:tr>
      <w:tr w:rsidR="00CB292C" w:rsidTr="00CB292C">
        <w:trPr>
          <w:trHeight w:val="320"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 МЦП</w:t>
            </w: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 xml:space="preserve"> в общей сумме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92C" w:rsidRPr="00883A4B" w:rsidRDefault="007D1059" w:rsidP="007D1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  <w:r w:rsidR="00CB292C" w:rsidRPr="00883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FD173A" w:rsidRDefault="00FD173A" w:rsidP="00927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92C" w:rsidRPr="009272D1" w:rsidRDefault="00CB292C" w:rsidP="00927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</w:t>
      </w:r>
      <w:r w:rsidR="00D5645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>роекта бюджета для сопоставимости данных структура доходов и расходо</w:t>
      </w:r>
      <w:r w:rsidR="00A118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65B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65B1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год была  приведена к структуре 201</w:t>
      </w:r>
      <w:r w:rsidR="00665B1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65B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 при этом доходы 201</w:t>
      </w:r>
      <w:r w:rsidR="00665B1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года сравнивались с ожидаемой оценкой 201</w:t>
      </w:r>
      <w:r w:rsidR="00665B1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года, расходы – с решением </w:t>
      </w:r>
      <w:r w:rsidR="00D564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0888"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овета Славянского городского поселения с учетом вносимых изменений 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</w:t>
      </w:r>
      <w:r w:rsidR="00BA0888"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Славянского городского поселения 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665B1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272D1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="00BA0888" w:rsidRPr="009272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92C" w:rsidRPr="009272D1" w:rsidRDefault="00CB292C" w:rsidP="0092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В 201</w:t>
      </w:r>
      <w:r w:rsidR="00665B1E">
        <w:rPr>
          <w:rFonts w:ascii="Times New Roman" w:hAnsi="Times New Roman" w:cs="Times New Roman"/>
          <w:sz w:val="28"/>
          <w:szCs w:val="28"/>
        </w:rPr>
        <w:t>9</w:t>
      </w:r>
      <w:r w:rsidRPr="009272D1">
        <w:rPr>
          <w:rFonts w:ascii="Times New Roman" w:hAnsi="Times New Roman" w:cs="Times New Roman"/>
          <w:sz w:val="28"/>
          <w:szCs w:val="28"/>
        </w:rPr>
        <w:t xml:space="preserve"> году доходы местного бюджета прогнозируются в сумме</w:t>
      </w:r>
      <w:r w:rsidR="00665B1E">
        <w:rPr>
          <w:rFonts w:ascii="Times New Roman" w:hAnsi="Times New Roman" w:cs="Times New Roman"/>
          <w:sz w:val="28"/>
          <w:szCs w:val="28"/>
        </w:rPr>
        <w:t>355461,0</w:t>
      </w:r>
      <w:r w:rsidRPr="009272D1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CB292C" w:rsidRDefault="00CB292C" w:rsidP="00CB292C">
      <w:pPr>
        <w:ind w:firstLine="708"/>
        <w:jc w:val="both"/>
        <w:rPr>
          <w:sz w:val="26"/>
          <w:szCs w:val="26"/>
        </w:rPr>
      </w:pPr>
    </w:p>
    <w:tbl>
      <w:tblPr>
        <w:tblW w:w="9567" w:type="dxa"/>
        <w:tblInd w:w="103" w:type="dxa"/>
        <w:tblLook w:val="04A0" w:firstRow="1" w:lastRow="0" w:firstColumn="1" w:lastColumn="0" w:noHBand="0" w:noVBand="1"/>
      </w:tblPr>
      <w:tblGrid>
        <w:gridCol w:w="2343"/>
        <w:gridCol w:w="1266"/>
        <w:gridCol w:w="1074"/>
        <w:gridCol w:w="1266"/>
        <w:gridCol w:w="1074"/>
        <w:gridCol w:w="1440"/>
        <w:gridCol w:w="1104"/>
      </w:tblGrid>
      <w:tr w:rsidR="00A11802" w:rsidRPr="009272D1" w:rsidTr="00CB292C">
        <w:trPr>
          <w:trHeight w:val="299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Наименование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Оценка 201</w:t>
            </w:r>
            <w:r w:rsidR="00665B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4F2C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Бюджет 20</w:t>
            </w:r>
            <w:r w:rsidR="00937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B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76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4E0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C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A11802" w:rsidRPr="009272D1" w:rsidTr="00CB292C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в сумме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</w:tr>
      <w:tr w:rsidR="00A11802" w:rsidRPr="009272D1" w:rsidTr="00CB292C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в т.ч.: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1E" w:rsidRDefault="00665B1E" w:rsidP="004A72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5B1E" w:rsidRDefault="00665B1E" w:rsidP="004A72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330758,0</w:t>
            </w:r>
          </w:p>
          <w:p w:rsidR="00CB292C" w:rsidRPr="009272D1" w:rsidRDefault="00CB292C" w:rsidP="004A72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834E4A" w:rsidP="00834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65B1E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355465,0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FD078F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4D255B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="00A11802">
              <w:rPr>
                <w:rFonts w:ascii="Times New Roman" w:hAnsi="Times New Roman" w:cs="Times New Roman"/>
                <w:bCs/>
                <w:sz w:val="20"/>
                <w:szCs w:val="20"/>
              </w:rPr>
              <w:t>24707,0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2C37CB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A11802"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A11802" w:rsidRPr="009272D1" w:rsidTr="00CB292C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 xml:space="preserve">  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65B1E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295565,0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834E4A" w:rsidP="00834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65B1E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326246,0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9C00F8" w:rsidP="00834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4E4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A11802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+30681,0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9C00F8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802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A11802" w:rsidRPr="009272D1" w:rsidTr="00CB292C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sz w:val="20"/>
                <w:szCs w:val="20"/>
              </w:rPr>
              <w:t>неналоговые доходы: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65B1E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57EAE" w:rsidP="00834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834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65B1E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29219,0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834E4A" w:rsidP="00834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A11802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-95974,6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A11802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A11802" w:rsidRPr="009272D1" w:rsidTr="00CB292C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665B1E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164873,9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834E4A" w:rsidP="00834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2E7876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Cs/>
                <w:sz w:val="20"/>
                <w:szCs w:val="20"/>
              </w:rPr>
              <w:t>12,4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FD078F" w:rsidP="00FD07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2C37CB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11802">
              <w:rPr>
                <w:rFonts w:ascii="Times New Roman" w:hAnsi="Times New Roman" w:cs="Times New Roman"/>
                <w:bCs/>
                <w:sz w:val="20"/>
                <w:szCs w:val="20"/>
              </w:rPr>
              <w:t>164861,5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C" w:rsidRPr="009272D1" w:rsidRDefault="002C37CB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  <w:r w:rsidR="00A11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11802" w:rsidRPr="009272D1" w:rsidTr="00CB292C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90" w:rsidRPr="009272D1" w:rsidRDefault="00937690" w:rsidP="00937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неиспользованных остатков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90" w:rsidRDefault="004A72D4" w:rsidP="004A72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90" w:rsidRPr="009272D1" w:rsidRDefault="009C00F8" w:rsidP="009C00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90" w:rsidRPr="009272D1" w:rsidRDefault="00937690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90" w:rsidRPr="009272D1" w:rsidRDefault="00937690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90" w:rsidRPr="009272D1" w:rsidRDefault="00937690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90" w:rsidRPr="009272D1" w:rsidRDefault="00937690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1802" w:rsidRPr="009272D1" w:rsidTr="00CB292C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CB292C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665B1E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495631,9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4D255B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665B1E" w:rsidP="00665B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355477,4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4D255B" w:rsidP="00927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2C37CB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11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140154,5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292C" w:rsidRPr="009272D1" w:rsidRDefault="00FD078F" w:rsidP="00A11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C00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</w:t>
            </w:r>
            <w:r w:rsidR="00A11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CB292C" w:rsidRPr="009272D1" w:rsidRDefault="00CB292C" w:rsidP="009272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B292C" w:rsidRPr="00883A4B" w:rsidRDefault="00CB292C" w:rsidP="009272D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F541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18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E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году  доходы городского бюджета  будут сформированы за счет  налоговых доходов (</w:t>
      </w:r>
      <w:r w:rsidR="00726BE8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11802">
        <w:rPr>
          <w:rFonts w:ascii="Times New Roman" w:hAnsi="Times New Roman" w:cs="Times New Roman"/>
          <w:color w:val="000000" w:themeColor="text1"/>
          <w:sz w:val="28"/>
          <w:szCs w:val="28"/>
        </w:rPr>
        <w:t>1,8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%),), неналоговых доходов (</w:t>
      </w:r>
      <w:r w:rsidR="00A11802">
        <w:rPr>
          <w:rFonts w:ascii="Times New Roman" w:hAnsi="Times New Roman" w:cs="Times New Roman"/>
          <w:color w:val="000000" w:themeColor="text1"/>
          <w:sz w:val="28"/>
          <w:szCs w:val="28"/>
        </w:rPr>
        <w:t>8,2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</w:t>
      </w:r>
      <w:r w:rsidR="002C37CB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, безвозмездных поступлений.</w:t>
      </w:r>
    </w:p>
    <w:p w:rsidR="00CB292C" w:rsidRPr="00883A4B" w:rsidRDefault="00CB292C" w:rsidP="009272D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налоговых и неналоговых доходов составит  </w:t>
      </w:r>
      <w:r w:rsidR="00726BE8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118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BE8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1802">
        <w:rPr>
          <w:rFonts w:ascii="Times New Roman" w:hAnsi="Times New Roman" w:cs="Times New Roman"/>
          <w:color w:val="000000" w:themeColor="text1"/>
          <w:sz w:val="28"/>
          <w:szCs w:val="28"/>
        </w:rPr>
        <w:t> 465,0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 рублей, что на </w:t>
      </w:r>
      <w:r w:rsidR="00A11802">
        <w:rPr>
          <w:rFonts w:ascii="Times New Roman" w:hAnsi="Times New Roman" w:cs="Times New Roman"/>
          <w:color w:val="000000" w:themeColor="text1"/>
          <w:sz w:val="28"/>
          <w:szCs w:val="28"/>
        </w:rPr>
        <w:t>24707,0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F5410F">
        <w:rPr>
          <w:rFonts w:ascii="Times New Roman" w:hAnsi="Times New Roman" w:cs="Times New Roman"/>
          <w:color w:val="000000" w:themeColor="text1"/>
          <w:sz w:val="28"/>
          <w:szCs w:val="28"/>
        </w:rPr>
        <w:t>(7,5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 </w:t>
      </w:r>
      <w:r w:rsidR="00AF0777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ожидаемого поступления 201</w:t>
      </w:r>
      <w:r w:rsidR="00A1180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B292C" w:rsidRPr="00883A4B" w:rsidRDefault="00CB292C" w:rsidP="009272D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Прогнозируемое снижение объема безвозмездных поступлений на </w:t>
      </w:r>
      <w:r w:rsidR="00F5410F">
        <w:rPr>
          <w:rFonts w:ascii="Times New Roman" w:hAnsi="Times New Roman" w:cs="Times New Roman"/>
          <w:color w:val="000000" w:themeColor="text1"/>
          <w:sz w:val="28"/>
          <w:szCs w:val="28"/>
        </w:rPr>
        <w:t>164861,5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 по сравнению с ожидаемыми поступлениями текущего года </w:t>
      </w:r>
      <w:r w:rsidR="007D10C0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бусловлено формированием прогноза  на основе проекта закона </w:t>
      </w:r>
      <w:r w:rsidR="00AF0777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</w:t>
      </w:r>
      <w:r w:rsidR="00A6327F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F0777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 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AF0777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краевом бюджете</w:t>
      </w:r>
      <w:r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F5410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0767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726BE8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41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0767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AF0777" w:rsidRPr="00883A4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C069B" w:rsidRPr="006E47B8" w:rsidRDefault="00BC069B" w:rsidP="009272D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410F" w:rsidRDefault="00BC069B" w:rsidP="00BC0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02">
        <w:rPr>
          <w:rFonts w:ascii="Times New Roman" w:hAnsi="Times New Roman" w:cs="Times New Roman"/>
          <w:sz w:val="28"/>
          <w:szCs w:val="28"/>
        </w:rPr>
        <w:t>Перечень утверждаемых в Проекте бюджета</w:t>
      </w:r>
      <w:r w:rsidR="006A4266">
        <w:rPr>
          <w:rFonts w:ascii="Times New Roman" w:hAnsi="Times New Roman" w:cs="Times New Roman"/>
          <w:sz w:val="28"/>
          <w:szCs w:val="28"/>
        </w:rPr>
        <w:t xml:space="preserve"> на 201</w:t>
      </w:r>
      <w:r w:rsidR="00F5410F">
        <w:rPr>
          <w:rFonts w:ascii="Times New Roman" w:hAnsi="Times New Roman" w:cs="Times New Roman"/>
          <w:sz w:val="28"/>
          <w:szCs w:val="28"/>
        </w:rPr>
        <w:t>9</w:t>
      </w:r>
      <w:r w:rsidR="006A4266">
        <w:rPr>
          <w:rFonts w:ascii="Times New Roman" w:hAnsi="Times New Roman" w:cs="Times New Roman"/>
          <w:sz w:val="28"/>
          <w:szCs w:val="28"/>
        </w:rPr>
        <w:t xml:space="preserve"> год</w:t>
      </w:r>
      <w:r w:rsidRPr="00577A02">
        <w:rPr>
          <w:rFonts w:ascii="Times New Roman" w:hAnsi="Times New Roman" w:cs="Times New Roman"/>
          <w:sz w:val="28"/>
          <w:szCs w:val="28"/>
        </w:rPr>
        <w:t xml:space="preserve"> доходов соответствует ст. 41, 42, 61.1, 62 БК РФ. Доходная часть бюджета Славянского городского поселения  сформирована на основании  прогнозных показателей социально-экономического развития Славянского городского поселения на 201</w:t>
      </w:r>
      <w:r w:rsidR="00F5410F">
        <w:rPr>
          <w:rFonts w:ascii="Times New Roman" w:hAnsi="Times New Roman" w:cs="Times New Roman"/>
          <w:sz w:val="28"/>
          <w:szCs w:val="28"/>
        </w:rPr>
        <w:t>9</w:t>
      </w:r>
      <w:r w:rsidRPr="00577A02">
        <w:rPr>
          <w:rFonts w:ascii="Times New Roman" w:hAnsi="Times New Roman" w:cs="Times New Roman"/>
          <w:sz w:val="28"/>
          <w:szCs w:val="28"/>
        </w:rPr>
        <w:t xml:space="preserve"> год в соответствии со ст. 174.1 БК РФ</w:t>
      </w:r>
      <w:r w:rsidR="00F5410F">
        <w:rPr>
          <w:rFonts w:ascii="Times New Roman" w:hAnsi="Times New Roman" w:cs="Times New Roman"/>
          <w:sz w:val="28"/>
          <w:szCs w:val="28"/>
        </w:rPr>
        <w:t>.</w:t>
      </w:r>
    </w:p>
    <w:p w:rsidR="00BC6A47" w:rsidRPr="00CB68A6" w:rsidRDefault="00BC069B" w:rsidP="00BC069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прогнозируемых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 социально-экономического разв</w:t>
      </w:r>
      <w:r w:rsidR="00AC5DB4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</w:t>
      </w:r>
      <w:r w:rsidR="00AC5DB4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городского поселения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представленных с проектом бюджета, объем 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добычи полезных ископаемы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т 1276100,0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руб.,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отчете 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185828,0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в 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оценке 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1209300,0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производства 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5,5</w:t>
      </w:r>
      <w:r w:rsidR="00A96ABD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2018 году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105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обрабатывающем производстве  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по отчету 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состави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ла 77098,9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по 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оценке  на 2018 год 99473,2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в прогнозе 201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C5FE8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104667,1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рост производства на 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5,2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% к 201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 По объему производства продукции сельского хозяйства план</w:t>
      </w:r>
      <w:r w:rsidR="00AC5DB4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руется получение продукции на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14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70912,0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, по 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оценке на 2018 год 1428070,0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рост по сравнению с 201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 w:rsidR="0004324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BC6A47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C069B" w:rsidRPr="00CB68A6" w:rsidRDefault="00BC069B" w:rsidP="00BC069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В конце 201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численность постоянного населения </w:t>
      </w:r>
      <w:r w:rsidR="003B3BD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BD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6285</w:t>
      </w:r>
      <w:r w:rsidR="003B3BD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еловек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, в 201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66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430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в 201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66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530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Абсолютный прирост численности </w:t>
      </w:r>
      <w:r w:rsidR="003B3BD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на 201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B3BD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составит 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3B3BD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а к уровню 201</w:t>
      </w:r>
      <w:r w:rsidR="00346C3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436E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B3BDC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69B" w:rsidRPr="00CB68A6" w:rsidRDefault="00BC069B" w:rsidP="00BC06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Прогнозируется 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 по крупным и средним организациям в 201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14,9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% по сравнению с 201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8 годом</w:t>
      </w:r>
      <w:r w:rsidR="00EB49B1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снижение 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EB49B1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69B" w:rsidRPr="00CB68A6" w:rsidRDefault="00BC069B" w:rsidP="00BC06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Темпы роста фонда заработной платы </w:t>
      </w:r>
      <w:r w:rsidR="007D0DEB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по полному кругу предприятий и организаций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5707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в 201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оценкой 201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 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отчетом 201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57079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16,8</w:t>
      </w:r>
      <w:r w:rsidR="009E6A3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69B" w:rsidRPr="00CB68A6" w:rsidRDefault="00BC069B" w:rsidP="00BC069B">
      <w:pPr>
        <w:ind w:firstLine="567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среднемесячной заработной платы работников </w:t>
      </w:r>
      <w:r w:rsidR="002D652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по полному кругу предприятий по прогнозу на 201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D652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32600,0</w:t>
      </w:r>
      <w:r w:rsidR="002D652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0 рублей или 10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2D6520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</w:t>
      </w:r>
      <w:r w:rsidR="00577A02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оценке 201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77A02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 отчету 201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7A02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1</w:t>
      </w:r>
      <w:r w:rsidR="00CB68A6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12,0</w:t>
      </w:r>
      <w:r w:rsidR="00577A02" w:rsidRPr="00CB68A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C069B" w:rsidRPr="00CB68A6" w:rsidRDefault="00BC069B" w:rsidP="00BC069B">
      <w:pPr>
        <w:ind w:firstLine="54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577A02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Славянском городском поселении </w:t>
      </w:r>
      <w:r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развивается туристская индустрия. По оценке 201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 объем платных туристских услуг населению составит 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70560,0</w:t>
      </w:r>
      <w:r w:rsidR="00577A02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 рублей</w:t>
      </w:r>
      <w:r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EB49B1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оценке </w:t>
      </w:r>
      <w:r w:rsidR="00EB49B1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2018 год 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67270,0</w:t>
      </w:r>
      <w:r w:rsidR="00EB49B1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 руб. </w:t>
      </w:r>
      <w:r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что на 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3290,0 </w:t>
      </w:r>
      <w:r w:rsidR="00577A02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 рублей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B49B1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или на 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4,9</w:t>
      </w:r>
      <w:r w:rsidR="00EB49B1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% </w:t>
      </w:r>
      <w:r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выше показателя </w:t>
      </w:r>
      <w:r w:rsidR="00577A02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оценке 201</w:t>
      </w:r>
      <w:r w:rsidR="00CB68A6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="00577A02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</w:t>
      </w:r>
      <w:r w:rsidR="00EB49B1" w:rsidRPr="00CB68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1924F4" w:rsidRPr="009272D1" w:rsidRDefault="00880E83" w:rsidP="009721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72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1924F4" w:rsidRPr="009272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доходов бюджета на 201</w:t>
      </w:r>
      <w:r w:rsidR="000073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1924F4" w:rsidRPr="009272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1924F4" w:rsidRPr="009272D1" w:rsidRDefault="001924F4" w:rsidP="009721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24F4" w:rsidRDefault="001924F4" w:rsidP="0092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Проектом решения предлагается утвердить</w:t>
      </w:r>
      <w:r w:rsidR="00880E83"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собственные 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доходы бюджета городского поселения на 201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в общем объеме назначений доходной части бюджета 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355477,4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880E83"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на 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24707,0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DA76BA"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7,5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DA76BA"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 ожидаемого исполнения бюджета по</w:t>
      </w:r>
      <w:r w:rsidR="00A35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собственным </w:t>
      </w:r>
      <w:r w:rsidR="00DA76BA"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доходам на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35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или </w:t>
      </w:r>
      <w:r w:rsidR="008A7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 </w:t>
      </w:r>
      <w:r w:rsidR="00A35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исполнения бюджета по доходам за 201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A35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на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61112,9</w:t>
      </w:r>
      <w:r w:rsidR="00A35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00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20,8</w:t>
      </w:r>
      <w:r w:rsidR="00A35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8A7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,что показано в таблице №1</w:t>
      </w:r>
      <w:r w:rsidR="00A35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7EAE" w:rsidRDefault="00657EAE" w:rsidP="008A7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A74BC" w:rsidRDefault="008A74BC" w:rsidP="008A7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7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Динамика доходов бюджета Славянского городского поселения </w:t>
      </w:r>
    </w:p>
    <w:p w:rsidR="008A74BC" w:rsidRPr="008A74BC" w:rsidRDefault="008A74BC" w:rsidP="008A7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7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 201</w:t>
      </w:r>
      <w:r w:rsidR="00AE3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8A7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AE3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8A74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годов</w:t>
      </w:r>
    </w:p>
    <w:p w:rsidR="008A74BC" w:rsidRDefault="008A74BC" w:rsidP="008A74BC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таблица №1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6"/>
        <w:gridCol w:w="913"/>
        <w:gridCol w:w="1134"/>
        <w:gridCol w:w="992"/>
        <w:gridCol w:w="851"/>
        <w:gridCol w:w="567"/>
        <w:gridCol w:w="992"/>
        <w:gridCol w:w="709"/>
        <w:gridCol w:w="567"/>
        <w:gridCol w:w="567"/>
      </w:tblGrid>
      <w:tr w:rsidR="00A40412" w:rsidRPr="00A40412" w:rsidTr="000073C5">
        <w:trPr>
          <w:trHeight w:val="74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 за 2017 год, тыс. 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ожидаемое исполнение 2018г., тыс.руб.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 на 2019 год, тыс. руб.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 плана на 2019г к 2017 году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 плана на 2019г к ожид. испол.  2018 года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 w:rsidP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доходов на 2019 год</w:t>
            </w:r>
          </w:p>
        </w:tc>
      </w:tr>
      <w:tr w:rsidR="00A40412" w:rsidRPr="00A40412" w:rsidTr="00A40412">
        <w:trPr>
          <w:trHeight w:val="813"/>
        </w:trPr>
        <w:tc>
          <w:tcPr>
            <w:tcW w:w="22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40412" w:rsidRDefault="00A40412" w:rsidP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1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от </w:t>
            </w:r>
          </w:p>
          <w:p w:rsidR="00A40412" w:rsidRDefault="00A40412" w:rsidP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1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</w:p>
          <w:p w:rsidR="00A40412" w:rsidRDefault="00A40412" w:rsidP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E31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бъема</w:t>
            </w:r>
          </w:p>
          <w:p w:rsidR="00A40412" w:rsidRPr="00A40412" w:rsidRDefault="00A40412" w:rsidP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1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40412" w:rsidRPr="00EE273C" w:rsidRDefault="00A40412" w:rsidP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7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 от</w:t>
            </w:r>
          </w:p>
          <w:p w:rsidR="00A40412" w:rsidRPr="00A40412" w:rsidRDefault="00A40412" w:rsidP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73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группы доходов</w:t>
            </w:r>
          </w:p>
        </w:tc>
      </w:tr>
      <w:tr w:rsidR="00A40412" w:rsidRPr="00A40412" w:rsidTr="00A40412">
        <w:trPr>
          <w:trHeight w:val="458"/>
        </w:trPr>
        <w:tc>
          <w:tcPr>
            <w:tcW w:w="2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294 352,1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330 758,0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355 465,0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61 112,9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24 707,0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263 418,0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295 565,0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326 246,0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62 828,0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30 681,0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112 393,1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127 005,0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145 655,0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33 261,9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18 650,0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ЕСХН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3 730,2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10 833,0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3 169,8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-3 933,0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22 171,5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32 477,0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10 305,5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11 784,0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13 139,0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112 556,6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128 075,0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15 518,4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8 345,0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4171" w:rsidP="00A4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30 934,1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35 193,0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29 219,0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-1 715,1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-5 974,0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100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4 524,3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4 958,0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4 238,0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-286,3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D74" w:rsidRPr="00A40412" w:rsidTr="00A40412">
        <w:trPr>
          <w:trHeight w:val="100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E62D74" w:rsidRDefault="00E62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получаемые в виде арендной платы за землю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20661,0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818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518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4171" w:rsidP="00A4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D74" w:rsidRPr="00A40412" w:rsidTr="00A40412">
        <w:trPr>
          <w:trHeight w:val="518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 w:rsidP="00E62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продажи земельных участков государственной собственности ,на которые не разграничена и которые расположены  в границах городского поселения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Default="00E62D74" w:rsidP="00A4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2D74" w:rsidRPr="00A40412" w:rsidTr="00A40412">
        <w:trPr>
          <w:trHeight w:val="518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Default="00E62D74" w:rsidP="00FE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эксплуатации  и использования имущес</w:t>
            </w:r>
            <w:r w:rsidR="00FE7F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автом</w:t>
            </w:r>
            <w:r w:rsidR="00FE7F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бильных дорог ,находящихся в собственности поселения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Default="00FE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Default="00E62D74" w:rsidP="00A4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D74" w:rsidRPr="00A40412" w:rsidRDefault="00E62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24 933,0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28 318,0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FE7FA5" w:rsidP="00FE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-1 452,0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-4 837,0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106 503,7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164 873,9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-106 491,3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89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-164861,5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276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400 855,8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495 631,9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355 477,4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-45 378,4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896238" w:rsidP="0089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-140154,5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412" w:rsidRPr="00A40412" w:rsidRDefault="00A44171" w:rsidP="00A4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-28,3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00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412" w:rsidRPr="00A40412" w:rsidTr="00A40412">
        <w:trPr>
          <w:trHeight w:val="158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412" w:rsidRPr="00A40412" w:rsidRDefault="00A40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40412" w:rsidRPr="00A40412" w:rsidRDefault="00A40412" w:rsidP="00A40412">
      <w:pPr>
        <w:rPr>
          <w:sz w:val="18"/>
          <w:szCs w:val="18"/>
        </w:rPr>
      </w:pPr>
    </w:p>
    <w:p w:rsidR="00815B7D" w:rsidRPr="009272D1" w:rsidRDefault="00880E83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372097228"/>
      <w:r w:rsidRPr="009272D1">
        <w:rPr>
          <w:rFonts w:ascii="Times New Roman" w:hAnsi="Times New Roman" w:cs="Times New Roman"/>
          <w:b/>
          <w:sz w:val="28"/>
          <w:szCs w:val="28"/>
        </w:rPr>
        <w:t>1.1</w:t>
      </w:r>
      <w:r w:rsidR="00815B7D" w:rsidRPr="009272D1">
        <w:rPr>
          <w:rFonts w:ascii="Times New Roman" w:hAnsi="Times New Roman" w:cs="Times New Roman"/>
          <w:b/>
          <w:sz w:val="28"/>
          <w:szCs w:val="28"/>
        </w:rPr>
        <w:t>. Налоговые доходы</w:t>
      </w:r>
      <w:bookmarkEnd w:id="1"/>
    </w:p>
    <w:p w:rsidR="007D10C0" w:rsidRDefault="00815B7D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Согласно Проекту</w:t>
      </w:r>
      <w:r w:rsidR="00A44171">
        <w:rPr>
          <w:rFonts w:ascii="Times New Roman" w:hAnsi="Times New Roman" w:cs="Times New Roman"/>
          <w:sz w:val="28"/>
          <w:szCs w:val="28"/>
        </w:rPr>
        <w:t>бюджета</w:t>
      </w:r>
      <w:r w:rsidRPr="009272D1">
        <w:rPr>
          <w:rFonts w:ascii="Times New Roman" w:hAnsi="Times New Roman" w:cs="Times New Roman"/>
          <w:sz w:val="28"/>
          <w:szCs w:val="28"/>
        </w:rPr>
        <w:t>, общий объем налоговых доходов бюджета составляет на 201</w:t>
      </w:r>
      <w:r w:rsidR="00A44171">
        <w:rPr>
          <w:rFonts w:ascii="Times New Roman" w:hAnsi="Times New Roman" w:cs="Times New Roman"/>
          <w:sz w:val="28"/>
          <w:szCs w:val="28"/>
        </w:rPr>
        <w:t>9</w:t>
      </w:r>
      <w:r w:rsidRPr="009272D1">
        <w:rPr>
          <w:rFonts w:ascii="Times New Roman" w:hAnsi="Times New Roman" w:cs="Times New Roman"/>
          <w:sz w:val="28"/>
          <w:szCs w:val="28"/>
        </w:rPr>
        <w:t xml:space="preserve"> год </w:t>
      </w:r>
      <w:r w:rsidR="00A44171">
        <w:rPr>
          <w:rFonts w:ascii="Times New Roman" w:hAnsi="Times New Roman" w:cs="Times New Roman"/>
          <w:sz w:val="28"/>
          <w:szCs w:val="28"/>
        </w:rPr>
        <w:t>326246,0</w:t>
      </w:r>
      <w:r w:rsidR="008A74BC">
        <w:rPr>
          <w:rFonts w:ascii="Times New Roman" w:hAnsi="Times New Roman" w:cs="Times New Roman"/>
          <w:sz w:val="28"/>
          <w:szCs w:val="28"/>
        </w:rPr>
        <w:t>,0</w:t>
      </w:r>
      <w:r w:rsidR="007D10C0" w:rsidRPr="009272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5B7D" w:rsidRDefault="007D10C0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А</w:t>
      </w:r>
      <w:r w:rsidR="00815B7D" w:rsidRPr="009272D1">
        <w:rPr>
          <w:rFonts w:ascii="Times New Roman" w:hAnsi="Times New Roman" w:cs="Times New Roman"/>
          <w:sz w:val="28"/>
          <w:szCs w:val="28"/>
        </w:rPr>
        <w:t>нализ формирования налоговых доходов бюджета на 201</w:t>
      </w:r>
      <w:r w:rsidR="00A44171">
        <w:rPr>
          <w:rFonts w:ascii="Times New Roman" w:hAnsi="Times New Roman" w:cs="Times New Roman"/>
          <w:sz w:val="28"/>
          <w:szCs w:val="28"/>
        </w:rPr>
        <w:t>9</w:t>
      </w:r>
      <w:r w:rsidR="00815B7D" w:rsidRPr="009272D1">
        <w:rPr>
          <w:rFonts w:ascii="Times New Roman" w:hAnsi="Times New Roman" w:cs="Times New Roman"/>
          <w:sz w:val="28"/>
          <w:szCs w:val="28"/>
        </w:rPr>
        <w:t xml:space="preserve"> год свидетельствует о прогнозируемом </w:t>
      </w:r>
      <w:r w:rsidR="00880E83" w:rsidRPr="009272D1">
        <w:rPr>
          <w:rFonts w:ascii="Times New Roman" w:hAnsi="Times New Roman" w:cs="Times New Roman"/>
          <w:sz w:val="28"/>
          <w:szCs w:val="28"/>
        </w:rPr>
        <w:t xml:space="preserve">увеличении </w:t>
      </w:r>
      <w:r w:rsidR="00815B7D" w:rsidRPr="009272D1">
        <w:rPr>
          <w:rFonts w:ascii="Times New Roman" w:hAnsi="Times New Roman" w:cs="Times New Roman"/>
          <w:sz w:val="28"/>
          <w:szCs w:val="28"/>
        </w:rPr>
        <w:t>их объемов по отношению</w:t>
      </w:r>
      <w:r w:rsidR="00880E83" w:rsidRPr="009272D1">
        <w:rPr>
          <w:rFonts w:ascii="Times New Roman" w:hAnsi="Times New Roman" w:cs="Times New Roman"/>
          <w:sz w:val="28"/>
          <w:szCs w:val="28"/>
        </w:rPr>
        <w:t xml:space="preserve"> к 201</w:t>
      </w:r>
      <w:r w:rsidR="00A44171">
        <w:rPr>
          <w:rFonts w:ascii="Times New Roman" w:hAnsi="Times New Roman" w:cs="Times New Roman"/>
          <w:sz w:val="28"/>
          <w:szCs w:val="28"/>
        </w:rPr>
        <w:t>7</w:t>
      </w:r>
      <w:r w:rsidR="00880E83" w:rsidRPr="009272D1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6718" w:rsidRPr="009272D1">
        <w:rPr>
          <w:rFonts w:ascii="Times New Roman" w:hAnsi="Times New Roman" w:cs="Times New Roman"/>
          <w:sz w:val="28"/>
          <w:szCs w:val="28"/>
        </w:rPr>
        <w:t xml:space="preserve"> на </w:t>
      </w:r>
      <w:r w:rsidR="00A44171">
        <w:rPr>
          <w:rFonts w:ascii="Times New Roman" w:hAnsi="Times New Roman" w:cs="Times New Roman"/>
          <w:sz w:val="28"/>
          <w:szCs w:val="28"/>
        </w:rPr>
        <w:t xml:space="preserve">62828,0 </w:t>
      </w:r>
      <w:r w:rsidR="00D26718" w:rsidRPr="009272D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A74BC">
        <w:rPr>
          <w:rFonts w:ascii="Times New Roman" w:hAnsi="Times New Roman" w:cs="Times New Roman"/>
          <w:sz w:val="28"/>
          <w:szCs w:val="28"/>
        </w:rPr>
        <w:t>2</w:t>
      </w:r>
      <w:r w:rsidR="00A44171">
        <w:rPr>
          <w:rFonts w:ascii="Times New Roman" w:hAnsi="Times New Roman" w:cs="Times New Roman"/>
          <w:sz w:val="28"/>
          <w:szCs w:val="28"/>
        </w:rPr>
        <w:t>3,9</w:t>
      </w:r>
      <w:r w:rsidR="00A350B2">
        <w:rPr>
          <w:rFonts w:ascii="Times New Roman" w:hAnsi="Times New Roman" w:cs="Times New Roman"/>
          <w:sz w:val="28"/>
          <w:szCs w:val="28"/>
        </w:rPr>
        <w:t>%</w:t>
      </w:r>
      <w:r w:rsidR="00D26718" w:rsidRPr="009272D1">
        <w:rPr>
          <w:rFonts w:ascii="Times New Roman" w:hAnsi="Times New Roman" w:cs="Times New Roman"/>
          <w:sz w:val="28"/>
          <w:szCs w:val="28"/>
        </w:rPr>
        <w:t xml:space="preserve">и </w:t>
      </w:r>
      <w:r w:rsidR="00815B7D" w:rsidRPr="009272D1">
        <w:rPr>
          <w:rFonts w:ascii="Times New Roman" w:hAnsi="Times New Roman" w:cs="Times New Roman"/>
          <w:sz w:val="28"/>
          <w:szCs w:val="28"/>
        </w:rPr>
        <w:t xml:space="preserve"> к ожидаемой оценке поступления за 201</w:t>
      </w:r>
      <w:r w:rsidR="00A44171">
        <w:rPr>
          <w:rFonts w:ascii="Times New Roman" w:hAnsi="Times New Roman" w:cs="Times New Roman"/>
          <w:sz w:val="28"/>
          <w:szCs w:val="28"/>
        </w:rPr>
        <w:t>8</w:t>
      </w:r>
      <w:r w:rsidR="00815B7D" w:rsidRPr="009272D1">
        <w:rPr>
          <w:rFonts w:ascii="Times New Roman" w:hAnsi="Times New Roman" w:cs="Times New Roman"/>
          <w:sz w:val="28"/>
          <w:szCs w:val="28"/>
        </w:rPr>
        <w:t xml:space="preserve"> год</w:t>
      </w:r>
      <w:r w:rsidR="00D26718" w:rsidRPr="009272D1">
        <w:rPr>
          <w:rFonts w:ascii="Times New Roman" w:hAnsi="Times New Roman" w:cs="Times New Roman"/>
          <w:sz w:val="28"/>
          <w:szCs w:val="28"/>
        </w:rPr>
        <w:t xml:space="preserve"> на </w:t>
      </w:r>
      <w:r w:rsidR="00A44171">
        <w:rPr>
          <w:rFonts w:ascii="Times New Roman" w:hAnsi="Times New Roman" w:cs="Times New Roman"/>
          <w:sz w:val="28"/>
          <w:szCs w:val="28"/>
        </w:rPr>
        <w:t>30681,0</w:t>
      </w:r>
      <w:r w:rsidR="00D26718" w:rsidRPr="009272D1">
        <w:rPr>
          <w:rFonts w:ascii="Times New Roman" w:hAnsi="Times New Roman" w:cs="Times New Roman"/>
          <w:sz w:val="28"/>
          <w:szCs w:val="28"/>
        </w:rPr>
        <w:t>тыс. рублей или на</w:t>
      </w:r>
      <w:r w:rsidR="00A44171">
        <w:rPr>
          <w:rFonts w:ascii="Times New Roman" w:hAnsi="Times New Roman" w:cs="Times New Roman"/>
          <w:sz w:val="28"/>
          <w:szCs w:val="28"/>
        </w:rPr>
        <w:t>10,4</w:t>
      </w:r>
      <w:r w:rsidR="00D26718" w:rsidRPr="009272D1">
        <w:rPr>
          <w:rFonts w:ascii="Times New Roman" w:hAnsi="Times New Roman" w:cs="Times New Roman"/>
          <w:sz w:val="28"/>
          <w:szCs w:val="28"/>
        </w:rPr>
        <w:t>%</w:t>
      </w:r>
      <w:r w:rsidR="00815B7D" w:rsidRPr="009272D1">
        <w:rPr>
          <w:rFonts w:ascii="Times New Roman" w:hAnsi="Times New Roman" w:cs="Times New Roman"/>
          <w:sz w:val="28"/>
          <w:szCs w:val="28"/>
        </w:rPr>
        <w:t>. Темпы роста (снижения) налоговых доходов бюджета на 201</w:t>
      </w:r>
      <w:r w:rsidR="001B00DC">
        <w:rPr>
          <w:rFonts w:ascii="Times New Roman" w:hAnsi="Times New Roman" w:cs="Times New Roman"/>
          <w:sz w:val="28"/>
          <w:szCs w:val="28"/>
        </w:rPr>
        <w:t>7</w:t>
      </w:r>
      <w:r w:rsidR="00815B7D" w:rsidRPr="009272D1">
        <w:rPr>
          <w:rFonts w:ascii="Times New Roman" w:hAnsi="Times New Roman" w:cs="Times New Roman"/>
          <w:sz w:val="28"/>
          <w:szCs w:val="28"/>
        </w:rPr>
        <w:t xml:space="preserve"> год в разрезе отдельных источников приведены в таблице</w:t>
      </w:r>
      <w:r w:rsidR="007159E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72117" w:rsidRPr="009272D1" w:rsidRDefault="00972117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7D" w:rsidRPr="009272D1" w:rsidRDefault="00815B7D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Анализ данных таблицы показывает, что налоговые доходы в 201</w:t>
      </w:r>
      <w:r w:rsidR="00770E34">
        <w:rPr>
          <w:rFonts w:ascii="Times New Roman" w:hAnsi="Times New Roman" w:cs="Times New Roman"/>
          <w:sz w:val="28"/>
          <w:szCs w:val="28"/>
        </w:rPr>
        <w:t>9</w:t>
      </w:r>
      <w:r w:rsidRPr="009272D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4A22" w:rsidRPr="009272D1">
        <w:rPr>
          <w:rFonts w:ascii="Times New Roman" w:hAnsi="Times New Roman" w:cs="Times New Roman"/>
          <w:sz w:val="28"/>
          <w:szCs w:val="28"/>
        </w:rPr>
        <w:t>увеличиваются по сравнению с 201</w:t>
      </w:r>
      <w:r w:rsidR="00770E34">
        <w:rPr>
          <w:rFonts w:ascii="Times New Roman" w:hAnsi="Times New Roman" w:cs="Times New Roman"/>
          <w:sz w:val="28"/>
          <w:szCs w:val="28"/>
        </w:rPr>
        <w:t>7</w:t>
      </w:r>
      <w:r w:rsidR="00274A22" w:rsidRPr="009272D1">
        <w:rPr>
          <w:rFonts w:ascii="Times New Roman" w:hAnsi="Times New Roman" w:cs="Times New Roman"/>
          <w:sz w:val="28"/>
          <w:szCs w:val="28"/>
        </w:rPr>
        <w:t>-201</w:t>
      </w:r>
      <w:r w:rsidR="00770E34">
        <w:rPr>
          <w:rFonts w:ascii="Times New Roman" w:hAnsi="Times New Roman" w:cs="Times New Roman"/>
          <w:sz w:val="28"/>
          <w:szCs w:val="28"/>
        </w:rPr>
        <w:t>8</w:t>
      </w:r>
      <w:r w:rsidR="00274A22" w:rsidRPr="009272D1">
        <w:rPr>
          <w:rFonts w:ascii="Times New Roman" w:hAnsi="Times New Roman" w:cs="Times New Roman"/>
          <w:sz w:val="28"/>
          <w:szCs w:val="28"/>
        </w:rPr>
        <w:t xml:space="preserve">годами </w:t>
      </w:r>
      <w:r w:rsidRPr="009272D1">
        <w:rPr>
          <w:rFonts w:ascii="Times New Roman" w:hAnsi="Times New Roman" w:cs="Times New Roman"/>
          <w:sz w:val="28"/>
          <w:szCs w:val="28"/>
        </w:rPr>
        <w:t xml:space="preserve"> соответственно на </w:t>
      </w:r>
      <w:r w:rsidR="007159E7">
        <w:rPr>
          <w:rFonts w:ascii="Times New Roman" w:hAnsi="Times New Roman" w:cs="Times New Roman"/>
          <w:sz w:val="28"/>
          <w:szCs w:val="28"/>
        </w:rPr>
        <w:t>2</w:t>
      </w:r>
      <w:r w:rsidR="00770E34">
        <w:rPr>
          <w:rFonts w:ascii="Times New Roman" w:hAnsi="Times New Roman" w:cs="Times New Roman"/>
          <w:sz w:val="28"/>
          <w:szCs w:val="28"/>
        </w:rPr>
        <w:t>3,9</w:t>
      </w:r>
      <w:r w:rsidRPr="009272D1">
        <w:rPr>
          <w:rFonts w:ascii="Times New Roman" w:hAnsi="Times New Roman" w:cs="Times New Roman"/>
          <w:sz w:val="28"/>
          <w:szCs w:val="28"/>
        </w:rPr>
        <w:t xml:space="preserve">% и </w:t>
      </w:r>
      <w:r w:rsidR="00770E34">
        <w:rPr>
          <w:rFonts w:ascii="Times New Roman" w:hAnsi="Times New Roman" w:cs="Times New Roman"/>
          <w:sz w:val="28"/>
          <w:szCs w:val="28"/>
        </w:rPr>
        <w:t>10,4</w:t>
      </w:r>
      <w:r w:rsidRPr="009272D1">
        <w:rPr>
          <w:rFonts w:ascii="Times New Roman" w:hAnsi="Times New Roman" w:cs="Times New Roman"/>
          <w:sz w:val="28"/>
          <w:szCs w:val="28"/>
        </w:rPr>
        <w:t>%.</w:t>
      </w:r>
    </w:p>
    <w:p w:rsidR="00F5410F" w:rsidRDefault="00F5410F" w:rsidP="00F541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02">
        <w:rPr>
          <w:rFonts w:ascii="Times New Roman" w:hAnsi="Times New Roman" w:cs="Times New Roman"/>
          <w:sz w:val="28"/>
          <w:szCs w:val="28"/>
        </w:rPr>
        <w:t xml:space="preserve">основными бюджетообразующими доходными источниками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 2019 год </w:t>
      </w:r>
      <w:r w:rsidRPr="00577A02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410F" w:rsidRDefault="00F5410F" w:rsidP="00F541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02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лиц, </w:t>
      </w:r>
    </w:p>
    <w:p w:rsidR="00F5410F" w:rsidRPr="00577A02" w:rsidRDefault="00F5410F" w:rsidP="00F541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02">
        <w:rPr>
          <w:rFonts w:ascii="Times New Roman" w:hAnsi="Times New Roman" w:cs="Times New Roman"/>
          <w:sz w:val="28"/>
          <w:szCs w:val="28"/>
        </w:rPr>
        <w:t>налоги на совокупный доход, налог на имущество,земельный налог. Доходы по указанным источникам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7A02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284</w:t>
      </w:r>
      <w:r>
        <w:rPr>
          <w:rFonts w:ascii="Times New Roman" w:hAnsi="Times New Roman" w:cs="Times New Roman"/>
          <w:sz w:val="28"/>
          <w:szCs w:val="28"/>
        </w:rPr>
        <w:t>670</w:t>
      </w:r>
      <w:r w:rsidRPr="00577A02">
        <w:rPr>
          <w:rFonts w:ascii="Times New Roman" w:hAnsi="Times New Roman" w:cs="Times New Roman"/>
          <w:sz w:val="28"/>
          <w:szCs w:val="28"/>
        </w:rPr>
        <w:t>,0 тыс. рублей или 9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577A02">
        <w:rPr>
          <w:rFonts w:ascii="Times New Roman" w:hAnsi="Times New Roman" w:cs="Times New Roman"/>
          <w:sz w:val="28"/>
          <w:szCs w:val="28"/>
        </w:rPr>
        <w:t>4 % от общего объема налоговых и неналоговых доходов бюджета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7A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24F4" w:rsidRPr="009272D1" w:rsidRDefault="001924F4" w:rsidP="0092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Факторами роста налоговых доходов на 201</w:t>
      </w:r>
      <w:r w:rsidR="00770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B6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ожидаемому исполнению бюджета за 201</w:t>
      </w:r>
      <w:r w:rsidR="00770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DB6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являются: </w:t>
      </w:r>
    </w:p>
    <w:p w:rsidR="001924F4" w:rsidRPr="009272D1" w:rsidRDefault="001924F4" w:rsidP="0092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увеличение поступления налога на имущество физических лиц на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6264,0</w:t>
      </w:r>
      <w:r w:rsidR="00CB68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51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D76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3,9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с учетом дополнительного введения в эксплуатацию домовладений физических</w:t>
      </w:r>
      <w:r w:rsidR="00514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924F4" w:rsidRDefault="001924F4" w:rsidP="0092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увеличение поступлений земельного налога на </w:t>
      </w:r>
      <w:r w:rsidR="00715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345</w:t>
      </w:r>
      <w:r w:rsidR="00715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,0 </w:t>
      </w:r>
      <w:r w:rsidR="001D2D63"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рублей 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</w:t>
      </w:r>
      <w:r w:rsidR="00715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7,0 </w:t>
      </w:r>
      <w:r w:rsidR="00DB6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произошло в связи с выкупом земельных участков</w:t>
      </w:r>
      <w:r w:rsidR="001D2D63"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6B2D" w:rsidRDefault="00DB6B2D" w:rsidP="00DB6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величение поступления НДФЛ по сравнению с 201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годом  предусмотрено на 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33261,9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тыс.рублей или на 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29,6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89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 ожидаемым исполнением бюджета на 201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увеличение дохода  составит 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18650,0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D76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1D7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14,7</w:t>
      </w:r>
      <w:r w:rsidR="00D76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92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увеличение рабочих мест во всех секторах экономики, легализации теневой заработной платы</w:t>
      </w:r>
      <w:r w:rsidR="00D76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7452" w:rsidRDefault="008908D8" w:rsidP="00BD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1E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сложилась следующая динамика темпа роста поступлений налога на доходы физических лиц в бюджет поселения : 2015 год -  105808,3 тыс. рублей, 2016 год – </w:t>
      </w:r>
      <w:r w:rsidR="00554B60">
        <w:rPr>
          <w:rFonts w:ascii="Times New Roman" w:eastAsia="Times New Roman" w:hAnsi="Times New Roman" w:cs="Times New Roman"/>
          <w:sz w:val="28"/>
          <w:szCs w:val="28"/>
        </w:rPr>
        <w:t>108646,2</w:t>
      </w:r>
      <w:r w:rsidRPr="00AF351E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554B60">
        <w:rPr>
          <w:rFonts w:ascii="Times New Roman" w:eastAsia="Times New Roman" w:hAnsi="Times New Roman" w:cs="Times New Roman"/>
          <w:sz w:val="28"/>
          <w:szCs w:val="28"/>
        </w:rPr>
        <w:t>лей (109,8</w:t>
      </w:r>
      <w:r w:rsidRPr="00AF351E">
        <w:rPr>
          <w:rFonts w:ascii="Times New Roman" w:eastAsia="Times New Roman" w:hAnsi="Times New Roman" w:cs="Times New Roman"/>
          <w:sz w:val="28"/>
          <w:szCs w:val="28"/>
        </w:rPr>
        <w:t>%</w:t>
      </w:r>
      <w:r w:rsidR="00554B6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F351E">
        <w:rPr>
          <w:rFonts w:ascii="Times New Roman" w:eastAsia="Times New Roman" w:hAnsi="Times New Roman" w:cs="Times New Roman"/>
          <w:sz w:val="28"/>
          <w:szCs w:val="28"/>
        </w:rPr>
        <w:t>, 2017 год –</w:t>
      </w:r>
      <w:r w:rsidR="001D78CF">
        <w:rPr>
          <w:rFonts w:ascii="Times New Roman" w:eastAsia="Times New Roman" w:hAnsi="Times New Roman" w:cs="Times New Roman"/>
          <w:sz w:val="28"/>
          <w:szCs w:val="28"/>
        </w:rPr>
        <w:t>112393,1</w:t>
      </w:r>
      <w:r w:rsidRPr="00AF351E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554B60">
        <w:rPr>
          <w:rFonts w:ascii="Times New Roman" w:eastAsia="Times New Roman" w:hAnsi="Times New Roman" w:cs="Times New Roman"/>
          <w:sz w:val="28"/>
          <w:szCs w:val="28"/>
        </w:rPr>
        <w:t>лей (</w:t>
      </w:r>
      <w:r w:rsidRPr="00AF351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54B60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AF351E">
        <w:rPr>
          <w:rFonts w:ascii="Times New Roman" w:eastAsia="Times New Roman" w:hAnsi="Times New Roman" w:cs="Times New Roman"/>
          <w:sz w:val="28"/>
          <w:szCs w:val="28"/>
        </w:rPr>
        <w:t>%</w:t>
      </w:r>
      <w:r w:rsidR="00554B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16DA6">
        <w:rPr>
          <w:rFonts w:ascii="Times New Roman" w:eastAsia="Times New Roman" w:hAnsi="Times New Roman" w:cs="Times New Roman"/>
          <w:sz w:val="28"/>
          <w:szCs w:val="28"/>
        </w:rPr>
        <w:t>,2018 год - 127005,0 тыс. рублей</w:t>
      </w:r>
      <w:r w:rsidR="006D7452">
        <w:rPr>
          <w:rFonts w:ascii="Times New Roman" w:eastAsia="Times New Roman" w:hAnsi="Times New Roman" w:cs="Times New Roman"/>
          <w:sz w:val="28"/>
          <w:szCs w:val="28"/>
        </w:rPr>
        <w:t xml:space="preserve"> (113,0%), 2019 год-</w:t>
      </w:r>
      <w:r w:rsidR="00A76684">
        <w:rPr>
          <w:rFonts w:ascii="Times New Roman" w:eastAsia="Times New Roman" w:hAnsi="Times New Roman" w:cs="Times New Roman"/>
          <w:sz w:val="28"/>
          <w:szCs w:val="28"/>
        </w:rPr>
        <w:t>145655,0 тысю. рудлей (114,7)</w:t>
      </w:r>
      <w:r w:rsidRPr="00AF3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8D8" w:rsidRPr="00A76684" w:rsidRDefault="008908D8" w:rsidP="00BD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 фонда заработной платы в 201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по прогнозу социально-экономического развития </w:t>
      </w:r>
      <w:r w:rsidR="00C36904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по полному кругу предприятий и организации</w:t>
      </w:r>
      <w:r w:rsidR="00C36904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составит 10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3,1</w:t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%, по 201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C36904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–10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2,1</w:t>
      </w:r>
      <w:r w:rsidR="00B309F1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309F1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Городским поселением </w:t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проводятся мероприятия по легализации заработной платы, в связи, с чем среднемесячная заработная плата </w:t>
      </w:r>
      <w:r w:rsidR="00240718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полному кругу предприятий составит в 201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40718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32600,0</w:t>
      </w:r>
      <w:r w:rsidR="00240718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 или 10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1,5</w:t>
      </w:r>
      <w:r w:rsidR="00240718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к уровню 201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240718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D7452"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 уровню 2017 года – 112,0%</w:t>
      </w:r>
      <w:r w:rsidRPr="00A7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Из анализа видно, что поступление налога на доходы физических лиц запланировано без учета динамики роста показателей, влияющих на сумму налогооблагаемой базы налога</w:t>
      </w:r>
      <w:r w:rsidRPr="00A76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1E25" w:rsidRPr="00A76684" w:rsidRDefault="00BD1E25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372097229"/>
    </w:p>
    <w:p w:rsidR="00FE707B" w:rsidRPr="009272D1" w:rsidRDefault="00FE707B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72D1">
        <w:rPr>
          <w:rFonts w:ascii="Times New Roman" w:hAnsi="Times New Roman" w:cs="Times New Roman"/>
          <w:b/>
          <w:sz w:val="28"/>
          <w:szCs w:val="28"/>
        </w:rPr>
        <w:t>1.2. Неналоговые доходы</w:t>
      </w:r>
      <w:bookmarkEnd w:id="2"/>
    </w:p>
    <w:p w:rsidR="00FE707B" w:rsidRPr="009272D1" w:rsidRDefault="00FE707B" w:rsidP="009272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Согласно Проекту</w:t>
      </w:r>
      <w:r w:rsidR="00A2540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272D1">
        <w:rPr>
          <w:rFonts w:ascii="Times New Roman" w:hAnsi="Times New Roman" w:cs="Times New Roman"/>
          <w:sz w:val="28"/>
          <w:szCs w:val="28"/>
        </w:rPr>
        <w:t>, общий объем неналоговых доходов бюджета составляет на 201</w:t>
      </w:r>
      <w:r w:rsidR="00616DA6">
        <w:rPr>
          <w:rFonts w:ascii="Times New Roman" w:hAnsi="Times New Roman" w:cs="Times New Roman"/>
          <w:sz w:val="28"/>
          <w:szCs w:val="28"/>
        </w:rPr>
        <w:t>9</w:t>
      </w:r>
      <w:r w:rsidRPr="009272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6DA6">
        <w:rPr>
          <w:rFonts w:ascii="Times New Roman" w:hAnsi="Times New Roman" w:cs="Times New Roman"/>
          <w:sz w:val="28"/>
          <w:szCs w:val="28"/>
        </w:rPr>
        <w:t>29218,0</w:t>
      </w:r>
      <w:r w:rsidRPr="0070056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86B7C" w:rsidRDefault="00FE707B" w:rsidP="004D48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D1">
        <w:rPr>
          <w:rFonts w:ascii="Times New Roman" w:hAnsi="Times New Roman" w:cs="Times New Roman"/>
          <w:sz w:val="28"/>
          <w:szCs w:val="28"/>
        </w:rPr>
        <w:t>Темпы роста (снижения) неналоговых доходов бюджета на 201</w:t>
      </w:r>
      <w:r w:rsidR="00616DA6">
        <w:rPr>
          <w:rFonts w:ascii="Times New Roman" w:hAnsi="Times New Roman" w:cs="Times New Roman"/>
          <w:sz w:val="28"/>
          <w:szCs w:val="28"/>
        </w:rPr>
        <w:t>9</w:t>
      </w:r>
      <w:r w:rsidRPr="009272D1">
        <w:rPr>
          <w:rFonts w:ascii="Times New Roman" w:hAnsi="Times New Roman" w:cs="Times New Roman"/>
          <w:sz w:val="28"/>
          <w:szCs w:val="28"/>
        </w:rPr>
        <w:t xml:space="preserve"> год в разрезе отдельных источников приведены в</w:t>
      </w:r>
      <w:r w:rsidR="00A76684">
        <w:rPr>
          <w:rFonts w:ascii="Times New Roman" w:hAnsi="Times New Roman" w:cs="Times New Roman"/>
          <w:sz w:val="28"/>
          <w:szCs w:val="28"/>
        </w:rPr>
        <w:t xml:space="preserve"> </w:t>
      </w:r>
      <w:r w:rsidRPr="009272D1">
        <w:rPr>
          <w:rFonts w:ascii="Times New Roman" w:hAnsi="Times New Roman" w:cs="Times New Roman"/>
          <w:sz w:val="28"/>
          <w:szCs w:val="28"/>
        </w:rPr>
        <w:t>таблице</w:t>
      </w:r>
      <w:r w:rsidR="004D4810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E3217" w:rsidRDefault="00FE707B" w:rsidP="004D48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50">
        <w:rPr>
          <w:rFonts w:ascii="Times New Roman" w:hAnsi="Times New Roman" w:cs="Times New Roman"/>
          <w:sz w:val="28"/>
          <w:szCs w:val="28"/>
        </w:rPr>
        <w:t>Из анализа данных следует, что в бюджете на 20</w:t>
      </w:r>
      <w:r w:rsidR="003A6A1E">
        <w:rPr>
          <w:rFonts w:ascii="Times New Roman" w:hAnsi="Times New Roman" w:cs="Times New Roman"/>
          <w:sz w:val="28"/>
          <w:szCs w:val="28"/>
        </w:rPr>
        <w:t>1</w:t>
      </w:r>
      <w:r w:rsidR="00616DA6">
        <w:rPr>
          <w:rFonts w:ascii="Times New Roman" w:hAnsi="Times New Roman" w:cs="Times New Roman"/>
          <w:sz w:val="28"/>
          <w:szCs w:val="28"/>
        </w:rPr>
        <w:t>9</w:t>
      </w:r>
      <w:r w:rsidRPr="00890B50">
        <w:rPr>
          <w:rFonts w:ascii="Times New Roman" w:hAnsi="Times New Roman" w:cs="Times New Roman"/>
          <w:sz w:val="28"/>
          <w:szCs w:val="28"/>
        </w:rPr>
        <w:t xml:space="preserve"> год запланировано снижение неналоговых доходов: </w:t>
      </w:r>
      <w:r w:rsidR="000D0765" w:rsidRPr="00890B50">
        <w:rPr>
          <w:rFonts w:ascii="Times New Roman" w:hAnsi="Times New Roman" w:cs="Times New Roman"/>
          <w:sz w:val="28"/>
          <w:szCs w:val="28"/>
        </w:rPr>
        <w:t>к</w:t>
      </w:r>
      <w:r w:rsidRPr="00890B50">
        <w:rPr>
          <w:rFonts w:ascii="Times New Roman" w:hAnsi="Times New Roman" w:cs="Times New Roman"/>
          <w:sz w:val="28"/>
          <w:szCs w:val="28"/>
        </w:rPr>
        <w:t xml:space="preserve"> 201</w:t>
      </w:r>
      <w:r w:rsidR="00616DA6">
        <w:rPr>
          <w:rFonts w:ascii="Times New Roman" w:hAnsi="Times New Roman" w:cs="Times New Roman"/>
          <w:sz w:val="28"/>
          <w:szCs w:val="28"/>
        </w:rPr>
        <w:t>7</w:t>
      </w:r>
      <w:r w:rsidRPr="00890B50">
        <w:rPr>
          <w:rFonts w:ascii="Times New Roman" w:hAnsi="Times New Roman" w:cs="Times New Roman"/>
          <w:sz w:val="28"/>
          <w:szCs w:val="28"/>
        </w:rPr>
        <w:t xml:space="preserve"> год</w:t>
      </w:r>
      <w:r w:rsidR="000D0765" w:rsidRPr="00890B50">
        <w:rPr>
          <w:rFonts w:ascii="Times New Roman" w:hAnsi="Times New Roman" w:cs="Times New Roman"/>
          <w:sz w:val="28"/>
          <w:szCs w:val="28"/>
        </w:rPr>
        <w:t>у</w:t>
      </w:r>
      <w:r w:rsidRPr="00890B50">
        <w:rPr>
          <w:rFonts w:ascii="Times New Roman" w:hAnsi="Times New Roman" w:cs="Times New Roman"/>
          <w:sz w:val="28"/>
          <w:szCs w:val="28"/>
        </w:rPr>
        <w:t xml:space="preserve"> - на </w:t>
      </w:r>
      <w:r w:rsidR="00616DA6">
        <w:rPr>
          <w:rFonts w:ascii="Times New Roman" w:hAnsi="Times New Roman" w:cs="Times New Roman"/>
          <w:sz w:val="28"/>
          <w:szCs w:val="28"/>
        </w:rPr>
        <w:t>5,5</w:t>
      </w:r>
      <w:r w:rsidR="003A6A1E">
        <w:rPr>
          <w:rFonts w:ascii="Times New Roman" w:hAnsi="Times New Roman" w:cs="Times New Roman"/>
          <w:sz w:val="28"/>
          <w:szCs w:val="28"/>
        </w:rPr>
        <w:t>% к ожидаемому 201</w:t>
      </w:r>
      <w:r w:rsidR="00616DA6">
        <w:rPr>
          <w:rFonts w:ascii="Times New Roman" w:hAnsi="Times New Roman" w:cs="Times New Roman"/>
          <w:sz w:val="28"/>
          <w:szCs w:val="28"/>
        </w:rPr>
        <w:t>8</w:t>
      </w:r>
      <w:r w:rsidR="003A6A1E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6DA6">
        <w:rPr>
          <w:rFonts w:ascii="Times New Roman" w:hAnsi="Times New Roman" w:cs="Times New Roman"/>
          <w:sz w:val="28"/>
          <w:szCs w:val="28"/>
        </w:rPr>
        <w:t>снижение 17,0</w:t>
      </w:r>
      <w:r w:rsidRPr="00890B50">
        <w:rPr>
          <w:rFonts w:ascii="Times New Roman" w:hAnsi="Times New Roman" w:cs="Times New Roman"/>
          <w:sz w:val="28"/>
          <w:szCs w:val="28"/>
        </w:rPr>
        <w:t>%</w:t>
      </w:r>
      <w:r w:rsidR="00CE3217">
        <w:rPr>
          <w:rFonts w:ascii="Times New Roman" w:hAnsi="Times New Roman" w:cs="Times New Roman"/>
          <w:sz w:val="28"/>
          <w:szCs w:val="28"/>
        </w:rPr>
        <w:t>.</w:t>
      </w:r>
      <w:r w:rsidRPr="00890B50">
        <w:rPr>
          <w:rFonts w:ascii="Times New Roman" w:hAnsi="Times New Roman" w:cs="Times New Roman"/>
          <w:sz w:val="28"/>
          <w:szCs w:val="28"/>
        </w:rPr>
        <w:t xml:space="preserve">  Основным источником </w:t>
      </w:r>
      <w:r w:rsidR="00616DA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890B50">
        <w:rPr>
          <w:rFonts w:ascii="Times New Roman" w:hAnsi="Times New Roman" w:cs="Times New Roman"/>
          <w:sz w:val="28"/>
          <w:szCs w:val="28"/>
        </w:rPr>
        <w:t xml:space="preserve"> неналоговых доходов являются доходы от </w:t>
      </w:r>
      <w:r w:rsidR="004D4810">
        <w:rPr>
          <w:rFonts w:ascii="Times New Roman" w:hAnsi="Times New Roman" w:cs="Times New Roman"/>
          <w:sz w:val="28"/>
          <w:szCs w:val="28"/>
        </w:rPr>
        <w:t xml:space="preserve">сдачи в аренду </w:t>
      </w:r>
      <w:r w:rsidRPr="00890B50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6A4266" w:rsidRDefault="00CE3217" w:rsidP="00890B5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</w:t>
      </w:r>
      <w:r w:rsidR="004D48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бюджета </w:t>
      </w:r>
      <w:r w:rsidR="004D4810">
        <w:rPr>
          <w:rFonts w:ascii="Times New Roman" w:hAnsi="Times New Roman" w:cs="Times New Roman"/>
          <w:sz w:val="28"/>
          <w:szCs w:val="28"/>
        </w:rPr>
        <w:t>на 201</w:t>
      </w:r>
      <w:r w:rsidR="00616DA6">
        <w:rPr>
          <w:rFonts w:ascii="Times New Roman" w:hAnsi="Times New Roman" w:cs="Times New Roman"/>
          <w:sz w:val="28"/>
          <w:szCs w:val="28"/>
        </w:rPr>
        <w:t>9</w:t>
      </w:r>
      <w:r w:rsidR="004D481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D481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 получаемых доходов от аренды </w:t>
      </w:r>
      <w:r w:rsidR="004D481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616DA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</w:t>
      </w:r>
      <w:r w:rsidR="00CE6EF2">
        <w:rPr>
          <w:rFonts w:ascii="Times New Roman" w:hAnsi="Times New Roman" w:cs="Times New Roman"/>
          <w:sz w:val="28"/>
          <w:szCs w:val="28"/>
        </w:rPr>
        <w:t xml:space="preserve"> расчетные показатели по определению арендной платы на имущество, задолженность по арендным платежам с целью определения резервов по указанным источникам   доходов.</w:t>
      </w:r>
    </w:p>
    <w:p w:rsidR="00FE707B" w:rsidRPr="00890B50" w:rsidRDefault="00CE6EF2" w:rsidP="00890B5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6A426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прог</w:t>
      </w:r>
      <w:r w:rsidR="00E56EB3">
        <w:rPr>
          <w:rFonts w:ascii="Times New Roman" w:hAnsi="Times New Roman" w:cs="Times New Roman"/>
          <w:sz w:val="28"/>
          <w:szCs w:val="28"/>
        </w:rPr>
        <w:t>нозный план приватизации муниципального имущества на 201</w:t>
      </w:r>
      <w:r w:rsidR="00616DA6">
        <w:rPr>
          <w:rFonts w:ascii="Times New Roman" w:hAnsi="Times New Roman" w:cs="Times New Roman"/>
          <w:sz w:val="28"/>
          <w:szCs w:val="28"/>
        </w:rPr>
        <w:t>9</w:t>
      </w:r>
      <w:r w:rsidR="00E56E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924F4" w:rsidRPr="00890B50" w:rsidRDefault="001924F4" w:rsidP="0089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24F4" w:rsidRPr="00890B50" w:rsidRDefault="001924F4" w:rsidP="00890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поселения должна быть продолжена работа по повышению эффективности </w:t>
      </w:r>
      <w:r w:rsidR="00E56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собираемости налоговых и неналоговых доходов, не допущения задолженности по платежам в бюджет коммерческих структур.</w:t>
      </w:r>
    </w:p>
    <w:p w:rsidR="00533461" w:rsidRDefault="00533461" w:rsidP="0089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924F4" w:rsidRDefault="00972117" w:rsidP="0089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21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</w:t>
      </w:r>
      <w:r w:rsidR="001924F4" w:rsidRPr="009721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Безвозмездные поступления</w:t>
      </w:r>
      <w:r w:rsidR="001924F4" w:rsidRPr="00890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предусмотрены в сумме 1</w:t>
      </w:r>
      <w:r w:rsidR="00BB2371" w:rsidRPr="00890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2,4</w:t>
      </w:r>
      <w:r w:rsidR="001924F4" w:rsidRPr="00890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BB2371" w:rsidRPr="00890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="001924F4" w:rsidRPr="00890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момент проведения экспертизы проекта решения о бюджете на 201</w:t>
      </w:r>
      <w:r w:rsidR="00770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1924F4" w:rsidRPr="00890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 по видам безвозмездных поступлений средства в бюджеты поселений в краевом бюджете безвозмездные поступления не определены. </w:t>
      </w:r>
    </w:p>
    <w:p w:rsidR="00770E34" w:rsidRDefault="00770E34" w:rsidP="00890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5"/>
        <w:gridCol w:w="1134"/>
        <w:gridCol w:w="992"/>
        <w:gridCol w:w="851"/>
        <w:gridCol w:w="992"/>
        <w:gridCol w:w="1134"/>
        <w:gridCol w:w="709"/>
        <w:gridCol w:w="992"/>
        <w:gridCol w:w="709"/>
      </w:tblGrid>
      <w:tr w:rsidR="00770E34" w:rsidRPr="00770E34" w:rsidTr="00770E34">
        <w:trPr>
          <w:trHeight w:val="110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за 2017 год, 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2018 года, ожидаемое исполнение, т.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исполнения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2019 год, т. р.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 плана 2019 г. к ожидаемому исполн.2018г.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 плана 2019г. к исполнению 2017г.</w:t>
            </w:r>
          </w:p>
        </w:tc>
      </w:tr>
      <w:tr w:rsidR="00770E34" w:rsidRPr="00770E34" w:rsidTr="00770E34">
        <w:trPr>
          <w:trHeight w:val="982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т.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т.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70E34" w:rsidRPr="00770E34" w:rsidTr="00770E34">
        <w:trPr>
          <w:trHeight w:val="22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70E34" w:rsidRPr="00770E34" w:rsidTr="00770E34">
        <w:trPr>
          <w:trHeight w:val="31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0E34" w:rsidRPr="00770E34" w:rsidTr="00770E34">
        <w:trPr>
          <w:trHeight w:val="31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93 466,2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105 661,5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-105 661,5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-93 466,2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0E34" w:rsidRPr="00770E34" w:rsidTr="00770E34">
        <w:trPr>
          <w:trHeight w:val="31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70E34" w:rsidRPr="00770E34" w:rsidTr="00770E34">
        <w:trPr>
          <w:trHeight w:val="34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-12 700,0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0E34" w:rsidRPr="00770E34" w:rsidTr="00770E34">
        <w:trPr>
          <w:trHeight w:val="62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-10 200,0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0E34" w:rsidRPr="00770E34" w:rsidTr="00770E34">
        <w:trPr>
          <w:trHeight w:val="62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164873,9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-164861,5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-106491,3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34" w:rsidRPr="00770E34" w:rsidRDefault="0077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70E34" w:rsidRDefault="00770E34" w:rsidP="00770E34">
      <w:pPr>
        <w:rPr>
          <w:rFonts w:ascii="Times New Roman" w:hAnsi="Times New Roman" w:cs="Times New Roman"/>
          <w:sz w:val="16"/>
          <w:szCs w:val="16"/>
        </w:rPr>
      </w:pPr>
    </w:p>
    <w:p w:rsidR="006509C0" w:rsidRDefault="00533461" w:rsidP="00650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6509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расходов бюджета городского поселения на 20</w:t>
      </w:r>
      <w:r w:rsidR="008623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913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6509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6509C0" w:rsidRDefault="006509C0" w:rsidP="00650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Проектом решения предлагается утвердить расходы бюджета Славянского городского поселения на 201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355477,4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3F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на 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150409,9</w:t>
      </w:r>
      <w:r w:rsidR="003F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меньше ожидаемой оценки исполнения бюджета на 201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или чем исполнены расходы бюджета за 201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 на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152882,5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3F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76E29" w:rsidRDefault="006509C0" w:rsidP="0070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бюджетных ассигнований на 201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по сравнению к ожидаемому исполнению бюджета </w:t>
      </w:r>
      <w:r w:rsidR="00035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955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произошло по следующим разделам:</w:t>
      </w:r>
    </w:p>
    <w:p w:rsidR="006509C0" w:rsidRDefault="00F76E29" w:rsidP="0070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общегосударственные вопросы – на </w:t>
      </w:r>
      <w:r w:rsidR="00A47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5093,0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22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22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509C0" w:rsidRDefault="006509C0" w:rsidP="0070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культура, кинемотография и средства массовой информации - на </w:t>
      </w:r>
      <w:r w:rsidR="00A47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4816,5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3F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47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%); </w:t>
      </w:r>
    </w:p>
    <w:p w:rsidR="006509C0" w:rsidRDefault="006509C0" w:rsidP="0070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жилищно-коммунальное хозяйство - на </w:t>
      </w:r>
      <w:r w:rsidR="00A47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71049,4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B44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47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%); </w:t>
      </w:r>
    </w:p>
    <w:p w:rsidR="006509C0" w:rsidRDefault="006509C0" w:rsidP="0070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национальная экономика - на </w:t>
      </w:r>
      <w:r w:rsidR="00A47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68855,1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44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47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BD31AC" w:rsidRDefault="00BD31AC" w:rsidP="00BD3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BD">
        <w:rPr>
          <w:rFonts w:ascii="Times New Roman" w:hAnsi="Times New Roman" w:cs="Times New Roman"/>
          <w:sz w:val="28"/>
          <w:szCs w:val="28"/>
        </w:rPr>
        <w:t>Характеристика объема расходов бюджета Славянского городского поселения в 201</w:t>
      </w:r>
      <w:r w:rsidR="00A47541">
        <w:rPr>
          <w:rFonts w:ascii="Times New Roman" w:hAnsi="Times New Roman" w:cs="Times New Roman"/>
          <w:sz w:val="28"/>
          <w:szCs w:val="28"/>
        </w:rPr>
        <w:t>9</w:t>
      </w:r>
      <w:r w:rsidRPr="000360BD">
        <w:rPr>
          <w:rFonts w:ascii="Times New Roman" w:hAnsi="Times New Roman" w:cs="Times New Roman"/>
          <w:sz w:val="28"/>
          <w:szCs w:val="28"/>
        </w:rPr>
        <w:t xml:space="preserve"> году в сравнении с фактическими показателями 201</w:t>
      </w:r>
      <w:r w:rsidR="00A47541">
        <w:rPr>
          <w:rFonts w:ascii="Times New Roman" w:hAnsi="Times New Roman" w:cs="Times New Roman"/>
          <w:sz w:val="28"/>
          <w:szCs w:val="28"/>
        </w:rPr>
        <w:t>7</w:t>
      </w:r>
      <w:r w:rsidRPr="000360BD">
        <w:rPr>
          <w:rFonts w:ascii="Times New Roman" w:hAnsi="Times New Roman" w:cs="Times New Roman"/>
          <w:sz w:val="28"/>
          <w:szCs w:val="28"/>
        </w:rPr>
        <w:t xml:space="preserve"> года и ожидаемым результатом исполнения в 201</w:t>
      </w:r>
      <w:r w:rsidR="00A47541">
        <w:rPr>
          <w:rFonts w:ascii="Times New Roman" w:hAnsi="Times New Roman" w:cs="Times New Roman"/>
          <w:sz w:val="28"/>
          <w:szCs w:val="28"/>
        </w:rPr>
        <w:t>8</w:t>
      </w:r>
      <w:r w:rsidRPr="000360BD">
        <w:rPr>
          <w:rFonts w:ascii="Times New Roman" w:hAnsi="Times New Roman" w:cs="Times New Roman"/>
          <w:sz w:val="28"/>
          <w:szCs w:val="28"/>
        </w:rPr>
        <w:t xml:space="preserve"> году представлена в таблице: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81"/>
        <w:gridCol w:w="980"/>
        <w:gridCol w:w="1134"/>
        <w:gridCol w:w="709"/>
        <w:gridCol w:w="992"/>
        <w:gridCol w:w="1015"/>
        <w:gridCol w:w="1146"/>
        <w:gridCol w:w="1100"/>
        <w:gridCol w:w="992"/>
      </w:tblGrid>
      <w:tr w:rsidR="00A073EF" w:rsidRPr="00A073EF" w:rsidTr="00B92D62">
        <w:trPr>
          <w:trHeight w:val="1576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статей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2017 год, т. р.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ожидаемое исполн. 2018г.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2019г.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Отклонения к 2017 году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Default="00A073EF" w:rsidP="00A073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Отклонения к  </w:t>
            </w:r>
          </w:p>
          <w:p w:rsidR="00A073EF" w:rsidRDefault="00A073EF" w:rsidP="00A073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ожид</w:t>
            </w:r>
            <w:r w:rsidR="00F4610A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аемому</w:t>
            </w:r>
          </w:p>
          <w:p w:rsidR="00A073EF" w:rsidRPr="00A073EF" w:rsidRDefault="00A073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2018г.</w:t>
            </w:r>
          </w:p>
        </w:tc>
      </w:tr>
      <w:tr w:rsidR="00A073EF" w:rsidRPr="00A073EF" w:rsidTr="00B92D62">
        <w:trPr>
          <w:trHeight w:val="630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т.р.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т.р.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073EF" w:rsidRPr="00A073EF" w:rsidTr="00B92D62">
        <w:trPr>
          <w:trHeight w:val="64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 Совет  поселения Славянского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69,5</w:t>
            </w:r>
          </w:p>
        </w:tc>
      </w:tr>
      <w:tr w:rsidR="00A073EF" w:rsidRPr="00A073EF" w:rsidTr="00B92D62">
        <w:trPr>
          <w:trHeight w:val="43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69,5</w:t>
            </w:r>
          </w:p>
        </w:tc>
      </w:tr>
      <w:tr w:rsidR="00A073EF" w:rsidRPr="00A073EF" w:rsidTr="00B92D62">
        <w:trPr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634,0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56,0</w:t>
            </w:r>
          </w:p>
        </w:tc>
      </w:tr>
      <w:tr w:rsidR="00A073EF" w:rsidRPr="00A073EF" w:rsidTr="00B92D62">
        <w:trPr>
          <w:trHeight w:val="52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 Администрация  поселения Славянского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507 569,8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504 973,3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354 842,4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-152 727,4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-150 130,9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70,3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181 810,7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202 489,9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197 675,9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15 865,2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-4 814,0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97,6</w:t>
            </w:r>
          </w:p>
        </w:tc>
      </w:tr>
      <w:tr w:rsidR="00A073EF" w:rsidRPr="00A073EF" w:rsidTr="00B92D62">
        <w:trPr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1 198,0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1 230,0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102,7</w:t>
            </w:r>
          </w:p>
        </w:tc>
      </w:tr>
      <w:tr w:rsidR="00A073EF" w:rsidRPr="00A073EF" w:rsidTr="00B92D62">
        <w:trPr>
          <w:trHeight w:val="804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23 115,6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26 230,4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25 947,4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2 831,8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98,9</w:t>
            </w:r>
          </w:p>
        </w:tc>
      </w:tr>
      <w:tr w:rsidR="00A073EF" w:rsidRPr="00A073EF" w:rsidTr="00B92D62">
        <w:trPr>
          <w:trHeight w:val="52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3 320,0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3 171,7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2 238,7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#ДЕЛ/0!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47541" w:rsidP="00A4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B92D62" w:rsidP="00B92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  <w:r w:rsidR="00A073EF"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!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B92D62" w:rsidP="00B92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  <w:r w:rsidR="00A073EF"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!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157 078,2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174 961,5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165 078,5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8 000,3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-9 883,0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94,4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47541" w:rsidP="00A4754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47541" w:rsidP="00A4754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47541" w:rsidP="00A4754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47541" w:rsidP="00A4754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4 860,0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259,3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95,8</w:t>
            </w:r>
          </w:p>
        </w:tc>
      </w:tr>
      <w:tr w:rsidR="00A073EF" w:rsidRPr="00A073EF" w:rsidTr="00B92D62">
        <w:trPr>
          <w:trHeight w:val="52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3 781,7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4 271,5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4 040,0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258,3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94,6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122,9</w:t>
            </w:r>
          </w:p>
        </w:tc>
      </w:tr>
      <w:tr w:rsidR="00A073EF" w:rsidRPr="00A073EF" w:rsidTr="00B92D62">
        <w:trPr>
          <w:trHeight w:val="52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96 201,3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27 346,2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-48 988,3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-68 855,1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28,4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111,4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74 839,9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94 701,3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25 866,2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-48 973,7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-68 835,1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27,3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87,5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184 797,2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59 296,3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-125 500,9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-71 049,4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45,5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-1 120,9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54 748,1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47 572,2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6 316,3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-48 431,8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-41 255,9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13,3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128 808,2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82 653,5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52 860,0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-75 948,2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-29 793,5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185,5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89,8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185,5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89,8</w:t>
            </w:r>
          </w:p>
        </w:tc>
      </w:tr>
      <w:tr w:rsidR="00A073EF" w:rsidRPr="00A073EF" w:rsidTr="00B92D62">
        <w:trPr>
          <w:trHeight w:val="1224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38 880,8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54 304,5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49 488,0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10 607,2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127,3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-4 816,5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91,1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32 635,3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48 280,6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43 809,0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11 173,7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-4 471,6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90,7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4 445,9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1 713,2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-1 445,9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67,5</w:t>
            </w:r>
          </w:p>
        </w:tc>
      </w:tr>
      <w:tr w:rsidR="00A073EF" w:rsidRPr="00A073EF" w:rsidTr="00B92D62">
        <w:trPr>
          <w:trHeight w:val="34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1 578,0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2 679,0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-2 279,7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169,8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5 286,0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3 822,0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361,1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1 425,7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136,9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1 180,0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590,0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3 660,3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4 106,0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3 280,0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112,2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-56,6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102,1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62" w:rsidRDefault="00B92D62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  <w:p w:rsidR="00A073EF" w:rsidRPr="00A073EF" w:rsidRDefault="00A073EF" w:rsidP="00B92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B92D62" w:rsidP="00B92D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-56,6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102,1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-3 170,9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80,8</w:t>
            </w:r>
          </w:p>
        </w:tc>
      </w:tr>
      <w:tr w:rsidR="00A073EF" w:rsidRPr="00A073EF" w:rsidTr="00B92D62">
        <w:trPr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968,1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-868,1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A073EF" w:rsidRPr="00A073EF" w:rsidTr="00B92D62">
        <w:trPr>
          <w:trHeight w:val="324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3 202,8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1 137,0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-2 302,8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79,2</w:t>
            </w:r>
          </w:p>
        </w:tc>
      </w:tr>
      <w:tr w:rsidR="00A073EF" w:rsidRPr="00A073EF" w:rsidTr="00B92D62">
        <w:trPr>
          <w:trHeight w:val="94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-5 749,9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85,4</w:t>
            </w:r>
          </w:p>
        </w:tc>
      </w:tr>
      <w:tr w:rsidR="00A073EF" w:rsidRPr="00A073EF" w:rsidTr="00B92D62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14 549,9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sz w:val="18"/>
                <w:szCs w:val="18"/>
              </w:rPr>
              <w:t>8 800,0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-5 749,9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85,4</w:t>
            </w:r>
          </w:p>
        </w:tc>
      </w:tr>
      <w:tr w:rsidR="00A073EF" w:rsidRPr="00A073EF" w:rsidTr="00B92D62">
        <w:trPr>
          <w:trHeight w:val="324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EF" w:rsidRPr="00A073EF" w:rsidRDefault="00A073EF" w:rsidP="00A0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508 359,9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505 887,3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3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355 477,4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-152 882,5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-150 409,9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EF" w:rsidRPr="00A073EF" w:rsidRDefault="00A073EF" w:rsidP="00A073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A073E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70,3</w:t>
            </w:r>
          </w:p>
        </w:tc>
      </w:tr>
    </w:tbl>
    <w:p w:rsidR="00A073EF" w:rsidRPr="00A073EF" w:rsidRDefault="00A073EF" w:rsidP="00BD31AC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D31AC" w:rsidRDefault="00B92D62" w:rsidP="00BD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общей сумме бюджетных ассигнований расходы на социально-культурную сферу на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составят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55864,0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15,7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от общего объема бюджета; жилищно-коммунальное хозяйство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16,7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%; национальная экономика-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7,7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%; решение общегосударственных вопросов </w:t>
      </w:r>
      <w:r w:rsidR="000D1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–55,7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в котором предусмотрены расходы на содержание общественно - социального центра, в сумме 1</w:t>
      </w:r>
      <w:r w:rsidR="000D1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3028,5 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рублей, что составляет </w:t>
      </w:r>
      <w:r w:rsidR="000D1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5,9</w:t>
      </w:r>
      <w:r w:rsidR="00BD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от общей суммы расходов бюджета. </w:t>
      </w:r>
    </w:p>
    <w:p w:rsidR="00BD31AC" w:rsidRDefault="00BD31AC" w:rsidP="00BD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Принимаются меры по оптимизации расходов в бюджетных учреждениях городского поселения</w:t>
      </w:r>
    </w:p>
    <w:p w:rsidR="006509C0" w:rsidRDefault="006509C0" w:rsidP="0070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9C0" w:rsidRDefault="006509C0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Расходы по разделу «Общегосударственные вопросы»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85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запланированы в размере </w:t>
      </w:r>
      <w:r w:rsidR="000D1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198310,9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9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что </w:t>
      </w:r>
      <w:r w:rsidR="00142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уровня</w:t>
      </w:r>
      <w:r w:rsidR="009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ожидаемых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расходов</w:t>
      </w:r>
      <w:r w:rsidR="008B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0D1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8B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9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D1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5093,0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533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85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%. По сравнению с  исполнением расходов 201</w:t>
      </w:r>
      <w:r w:rsidR="0085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общегосударственные расходы увеличились на </w:t>
      </w:r>
      <w:r w:rsidR="0085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15710,1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85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8B089D" w:rsidRDefault="007167B3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содержание Совета Славянского городского поселения,передача полномочий по контрольно-счетному органу по соглашению предусмотрены в сумме </w:t>
      </w:r>
      <w:r w:rsidR="0085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635,0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8B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167B3" w:rsidRPr="00AD40B7" w:rsidRDefault="008B089D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4E0B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A4B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рекомендуемом </w:t>
      </w:r>
      <w:r w:rsidR="0096132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максимальном размере расходов на функционирование исполнительных органов </w:t>
      </w:r>
      <w:r w:rsidR="007167B3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 Краснодарского края в сумме 2</w:t>
      </w:r>
      <w:r w:rsidR="00883A4B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8090</w:t>
      </w:r>
      <w:r w:rsidR="007167B3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тыс. рублей</w:t>
      </w:r>
      <w:r w:rsidR="0096132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расходы на содержание администрации муниципального образования в 201</w:t>
      </w:r>
      <w:r w:rsidR="00855199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6132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составят 2</w:t>
      </w:r>
      <w:r w:rsidR="006C58F1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0F1DBF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35,0</w:t>
      </w:r>
      <w:r w:rsidR="0096132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7167B3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1612" w:rsidRPr="00AD40B7" w:rsidRDefault="007167B3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 на содержание муниципального казенного у</w:t>
      </w:r>
      <w:r w:rsidR="00CD161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реждения </w:t>
      </w:r>
      <w:r w:rsidR="00CD161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«Общественно – социальный центр»составят на 201</w:t>
      </w:r>
      <w:r w:rsidR="006C58F1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CD161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51ED8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1630</w:t>
      </w:r>
      <w:r w:rsidR="000F1DBF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28,5</w:t>
      </w:r>
      <w:r w:rsidR="00CD1612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0357C5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450CC" w:rsidRPr="00AD40B7" w:rsidRDefault="00CD1612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 на  реализацию муниципальных функций, связанных</w:t>
      </w:r>
      <w:r w:rsidR="00A450CC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управлением (оплата по исполнительным листам)</w:t>
      </w:r>
      <w:r w:rsidR="00A450CC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0F1DBF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A450CC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предусмотрены в сумме </w:t>
      </w:r>
      <w:r w:rsidR="000F1DBF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500</w:t>
      </w:r>
      <w:r w:rsidR="00A450CC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тыс. рублей( КБК 992 01 13 53 4 00 00000).</w:t>
      </w:r>
    </w:p>
    <w:p w:rsidR="00A450CC" w:rsidRPr="00AD40B7" w:rsidRDefault="000357C5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мероприятий связанных с оценкой недвижимости . признание прав и регулирование отношений по государственной и муниципальной собственности на  201</w:t>
      </w:r>
      <w:r w:rsidR="000F1DBF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составят </w:t>
      </w:r>
      <w:r w:rsidR="000F1DBF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1150,0</w:t>
      </w:r>
      <w:r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A450CC" w:rsidRPr="00AD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(КБК 992 01 13 54 1 00 00000).</w:t>
      </w:r>
    </w:p>
    <w:p w:rsidR="007167B3" w:rsidRDefault="007167B3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4339" w:rsidRPr="00264339" w:rsidRDefault="00264339" w:rsidP="0071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49">
        <w:rPr>
          <w:rFonts w:ascii="Times New Roman" w:hAnsi="Times New Roman" w:cs="Times New Roman"/>
          <w:b/>
          <w:i/>
          <w:sz w:val="28"/>
          <w:szCs w:val="28"/>
        </w:rPr>
        <w:t>Расходы по разделу «Национальная экономика»</w:t>
      </w:r>
      <w:r w:rsidRPr="00FB0E49">
        <w:rPr>
          <w:rFonts w:ascii="Times New Roman" w:hAnsi="Times New Roman" w:cs="Times New Roman"/>
          <w:sz w:val="28"/>
          <w:szCs w:val="28"/>
        </w:rPr>
        <w:t>на 201</w:t>
      </w:r>
      <w:r w:rsidR="006C58F1">
        <w:rPr>
          <w:rFonts w:ascii="Times New Roman" w:hAnsi="Times New Roman" w:cs="Times New Roman"/>
          <w:sz w:val="28"/>
          <w:szCs w:val="28"/>
        </w:rPr>
        <w:t>9</w:t>
      </w:r>
      <w:r w:rsidRPr="00FB0E49">
        <w:rPr>
          <w:rFonts w:ascii="Times New Roman" w:hAnsi="Times New Roman" w:cs="Times New Roman"/>
          <w:sz w:val="28"/>
          <w:szCs w:val="28"/>
        </w:rPr>
        <w:t xml:space="preserve"> год </w:t>
      </w:r>
      <w:r w:rsidR="00FB0E49" w:rsidRPr="00FB0E49">
        <w:rPr>
          <w:rFonts w:ascii="Times New Roman" w:hAnsi="Times New Roman" w:cs="Times New Roman"/>
          <w:sz w:val="28"/>
          <w:szCs w:val="28"/>
        </w:rPr>
        <w:t>п</w:t>
      </w:r>
      <w:r w:rsidRPr="00264339">
        <w:rPr>
          <w:rFonts w:ascii="Times New Roman" w:hAnsi="Times New Roman" w:cs="Times New Roman"/>
          <w:sz w:val="28"/>
          <w:szCs w:val="28"/>
        </w:rPr>
        <w:t>редусмотрены расходы в сумме</w:t>
      </w:r>
      <w:r w:rsidR="006C58F1">
        <w:rPr>
          <w:rFonts w:ascii="Times New Roman" w:hAnsi="Times New Roman" w:cs="Times New Roman"/>
          <w:sz w:val="28"/>
          <w:szCs w:val="28"/>
        </w:rPr>
        <w:t>27346,2</w:t>
      </w:r>
      <w:r w:rsidRPr="0026433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6433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C58F1">
        <w:rPr>
          <w:rFonts w:ascii="Times New Roman" w:hAnsi="Times New Roman" w:cs="Times New Roman"/>
          <w:sz w:val="28"/>
          <w:szCs w:val="28"/>
        </w:rPr>
        <w:t>7,7</w:t>
      </w:r>
      <w:r w:rsidRPr="00264339">
        <w:rPr>
          <w:rFonts w:ascii="Times New Roman" w:hAnsi="Times New Roman" w:cs="Times New Roman"/>
          <w:sz w:val="28"/>
          <w:szCs w:val="28"/>
        </w:rPr>
        <w:t xml:space="preserve"> % от общей суммы расходов городского бюджета.</w:t>
      </w:r>
    </w:p>
    <w:p w:rsidR="006509C0" w:rsidRDefault="006509C0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9C0" w:rsidRDefault="006509C0" w:rsidP="0071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распределения бюджетных ассигнований по разделу «Национальная экономика» в разрезе подразделов классификации расходов представлен в таблице</w:t>
      </w:r>
      <w:r w:rsidR="00FB0E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509C0" w:rsidRDefault="006509C0" w:rsidP="006509C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1466"/>
        <w:gridCol w:w="1532"/>
        <w:gridCol w:w="1130"/>
        <w:gridCol w:w="1055"/>
        <w:gridCol w:w="1050"/>
      </w:tblGrid>
      <w:tr w:rsidR="006509C0" w:rsidTr="006509C0">
        <w:trPr>
          <w:tblCellSpacing w:w="0" w:type="dxa"/>
        </w:trPr>
        <w:tc>
          <w:tcPr>
            <w:tcW w:w="358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6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461" w:rsidRPr="001E0FE8" w:rsidRDefault="006509C0" w:rsidP="0025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 201</w:t>
            </w:r>
            <w:r w:rsidR="006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</w:p>
          <w:p w:rsidR="006509C0" w:rsidRPr="001E0FE8" w:rsidRDefault="00533461" w:rsidP="0025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53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251FB8" w:rsidP="0025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Ожидаемое исполнение </w:t>
            </w:r>
            <w:r w:rsidR="006509C0"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6509C0"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201</w:t>
            </w:r>
            <w:r w:rsidR="006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6509C0"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</w:p>
          <w:p w:rsidR="00533461" w:rsidRPr="001E0FE8" w:rsidRDefault="00533461" w:rsidP="00533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1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461" w:rsidRPr="001E0FE8" w:rsidRDefault="006509C0" w:rsidP="0026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 на 201</w:t>
            </w:r>
            <w:r w:rsidR="006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  <w:p w:rsidR="006509C0" w:rsidRPr="001E0FE8" w:rsidRDefault="00FB0E49" w:rsidP="00FB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533461"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ыс. 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руб. </w:t>
            </w:r>
          </w:p>
        </w:tc>
        <w:tc>
          <w:tcPr>
            <w:tcW w:w="21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 w:rsidP="0093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Темп прироста (снижения) расходов 201</w:t>
            </w:r>
            <w:r w:rsidR="006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-201</w:t>
            </w:r>
            <w:r w:rsidR="006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годов, 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</w:tr>
      <w:tr w:rsidR="006509C0" w:rsidTr="006509C0">
        <w:trPr>
          <w:tblCellSpacing w:w="0" w:type="dxa"/>
        </w:trPr>
        <w:tc>
          <w:tcPr>
            <w:tcW w:w="358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1E0FE8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1E0FE8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1E0FE8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1E0FE8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 w:rsidP="006C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201</w:t>
            </w:r>
            <w:r w:rsidR="006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 w:rsidP="006C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201</w:t>
            </w:r>
            <w:r w:rsidR="006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</w:p>
        </w:tc>
      </w:tr>
      <w:tr w:rsidR="006509C0" w:rsidTr="006509C0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Национальная экономика, в т.ч.: 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6C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76334,5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6C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96201,3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AE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27346,2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6C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-48988,3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0D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-68855,1</w:t>
            </w:r>
          </w:p>
        </w:tc>
      </w:tr>
      <w:tr w:rsidR="006509C0" w:rsidTr="006509C0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 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4444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59,6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6C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C58F1" w:rsidP="006C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780,0</w:t>
            </w:r>
            <w:r w:rsidR="000D12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-79,6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+80,0</w:t>
            </w:r>
          </w:p>
        </w:tc>
      </w:tr>
      <w:tr w:rsidR="006509C0" w:rsidTr="006509C0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74839,9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94701,3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25866,2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-48973,7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-68835,1</w:t>
            </w:r>
          </w:p>
        </w:tc>
      </w:tr>
      <w:tr w:rsidR="006509C0" w:rsidTr="006509C0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44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1E0FE8" w:rsidRDefault="00444414" w:rsidP="000D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-100,0</w:t>
            </w:r>
          </w:p>
        </w:tc>
      </w:tr>
    </w:tbl>
    <w:p w:rsidR="006509C0" w:rsidRDefault="006509C0" w:rsidP="00650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6509C0" w:rsidRDefault="006509C0" w:rsidP="00AE2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Расходы на национальную экономику  на 201</w:t>
      </w:r>
      <w:r w:rsidR="004444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 сократ</w:t>
      </w:r>
      <w:r w:rsidR="00AE29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ятся на </w:t>
      </w:r>
      <w:r w:rsidR="004444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68855,1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тыс. руб</w:t>
      </w:r>
      <w:r w:rsidR="00FB0E4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</w:t>
      </w:r>
      <w:r w:rsidR="004444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28,4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%)  по сравнению с текущим периодом в основном по причине отсутствия на 201</w:t>
      </w:r>
      <w:r w:rsidR="004444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 краевых и федеральных средств, выделенных на эти цели</w:t>
      </w:r>
      <w:r w:rsidR="007B21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C54E28" w:rsidRPr="00931FC3" w:rsidRDefault="00C54E28" w:rsidP="00AE2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Расходы на дорожное хозяйство в сумме </w:t>
      </w:r>
      <w:r w:rsidR="00444414"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25866,2</w:t>
      </w:r>
      <w:r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рублей состоят из  полученных доходов  от акцизов по подакцизным товарам  в сумме </w:t>
      </w:r>
      <w:r w:rsidR="007B21F6"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444414"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3139,0</w:t>
      </w:r>
      <w:r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рублей, из выделенных средств на муниципальную программу «Развитие сети автомобильных дорог» в сумме </w:t>
      </w:r>
      <w:r w:rsidR="00707853"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2052,2</w:t>
      </w:r>
      <w:r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рублей, из  средств на внепрограммные мероприятия в сумме </w:t>
      </w:r>
      <w:r w:rsidR="00707853"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10675,0 </w:t>
      </w:r>
      <w:r w:rsidR="00E20114"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тыс. рублей</w:t>
      </w:r>
      <w:r w:rsidR="00153DDF" w:rsidRPr="00F311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которая расчетными показателями  не подтверждена</w:t>
      </w:r>
      <w:r w:rsidR="00153DDF" w:rsidRPr="00931FC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</w:t>
      </w:r>
    </w:p>
    <w:p w:rsidR="006509C0" w:rsidRPr="00931FC3" w:rsidRDefault="006509C0" w:rsidP="00650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6509C0" w:rsidRPr="00980BDE" w:rsidRDefault="006509C0" w:rsidP="00AE2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B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Расходы по разделу «Жилищно-коммунальное хозяйство»</w:t>
      </w:r>
      <w:r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713D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запланированы в размере </w:t>
      </w:r>
      <w:r w:rsidR="00713D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66286,3</w:t>
      </w:r>
      <w:r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FB0E49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="00707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ниже уровня расходов</w:t>
      </w:r>
      <w:r w:rsidR="009D0ABE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13D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128470,1</w:t>
      </w:r>
      <w:r w:rsidR="009D0ABE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п</w:t>
      </w:r>
      <w:r w:rsidR="00FF1964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D0ABE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сравнению с ожидаемым исполнени</w:t>
      </w:r>
      <w:r w:rsidR="00BE03D8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D0ABE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BE03D8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AE295E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E03D8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707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BE03D8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B0E49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0E49" w:rsidRPr="00980BDE" w:rsidRDefault="00FB0E49" w:rsidP="00FB0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1466"/>
        <w:gridCol w:w="1532"/>
        <w:gridCol w:w="1130"/>
        <w:gridCol w:w="1055"/>
        <w:gridCol w:w="1050"/>
      </w:tblGrid>
      <w:tr w:rsidR="006509C0" w:rsidRPr="00980BDE" w:rsidTr="006509C0">
        <w:trPr>
          <w:tblCellSpacing w:w="0" w:type="dxa"/>
        </w:trPr>
        <w:tc>
          <w:tcPr>
            <w:tcW w:w="358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6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 w:rsidP="00BE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 201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</w:p>
          <w:p w:rsidR="00FB0E49" w:rsidRPr="00980BDE" w:rsidRDefault="00FB0E49" w:rsidP="00FB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53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BE03D8" w:rsidP="00FB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Ожидаемое исполнение </w:t>
            </w:r>
            <w:r w:rsidR="006509C0"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</w:t>
            </w: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6509C0"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201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6509C0"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  <w:p w:rsidR="00FB0E49" w:rsidRPr="00980BDE" w:rsidRDefault="00FB0E49" w:rsidP="00FB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E49" w:rsidRPr="00980BDE" w:rsidRDefault="006509C0" w:rsidP="00BE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 на 201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  <w:p w:rsidR="006509C0" w:rsidRPr="00980BDE" w:rsidRDefault="00FB0E49" w:rsidP="00FB0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21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 w:rsidP="0093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Темп прироста (снижения) расходов 201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-201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г.,%</w:t>
            </w:r>
          </w:p>
        </w:tc>
      </w:tr>
      <w:tr w:rsidR="006509C0" w:rsidRPr="00980BDE" w:rsidTr="006509C0">
        <w:trPr>
          <w:tblCellSpacing w:w="0" w:type="dxa"/>
        </w:trPr>
        <w:tc>
          <w:tcPr>
            <w:tcW w:w="358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980BDE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980BDE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980BDE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509C0" w:rsidRPr="00980BDE" w:rsidRDefault="006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 w:rsidP="0093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201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AE295E"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 w:rsidP="0093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201</w:t>
            </w:r>
            <w:r w:rsidR="00931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</w:p>
        </w:tc>
      </w:tr>
      <w:tr w:rsidR="006509C0" w:rsidRPr="00980BDE" w:rsidTr="00931FC3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Жилищно-коммунальное хозяйство, в т.ч.: 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93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184797,2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130345,7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93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59296,3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93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45,5</w:t>
            </w:r>
          </w:p>
        </w:tc>
      </w:tr>
      <w:tr w:rsidR="006509C0" w:rsidRPr="00980BDE" w:rsidTr="00931FC3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1240,9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1390D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6509C0" w:rsidRPr="00980BDE" w:rsidTr="00931FC3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54748,1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47572,2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6316,3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1390D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</w:tr>
      <w:tr w:rsidR="006509C0" w:rsidRPr="00980BDE" w:rsidTr="00931FC3">
        <w:trPr>
          <w:tblCellSpacing w:w="0" w:type="dxa"/>
        </w:trPr>
        <w:tc>
          <w:tcPr>
            <w:tcW w:w="35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C0" w:rsidRPr="00980BDE" w:rsidRDefault="0065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0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14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128808,2</w:t>
            </w:r>
          </w:p>
        </w:tc>
        <w:tc>
          <w:tcPr>
            <w:tcW w:w="15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82653,5</w:t>
            </w:r>
          </w:p>
        </w:tc>
        <w:tc>
          <w:tcPr>
            <w:tcW w:w="1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52860,0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31FC3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9C0" w:rsidRPr="00980BDE" w:rsidRDefault="0091390D" w:rsidP="00FD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64,0</w:t>
            </w:r>
          </w:p>
        </w:tc>
      </w:tr>
    </w:tbl>
    <w:p w:rsidR="006509C0" w:rsidRPr="00980BDE" w:rsidRDefault="006509C0" w:rsidP="00650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509C0" w:rsidRPr="00980BDE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жилищно-коммунального хозяйства на 201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>год  уменьшилось</w:t>
      </w:r>
      <w:r w:rsidR="004E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964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91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F1964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 w:rsidR="0091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125600,0</w:t>
      </w:r>
      <w:r w:rsidR="00FF1964" w:rsidRPr="00980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тыс.рублей</w:t>
      </w: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13D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13D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>%) в связи с отсутствием на 201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точной информации по выделению средств из краевого бюджета на мероприятия по капитальному ремонту многоквартирных домов, на развитие водоснабжения и газификации городского поселения.</w:t>
      </w:r>
    </w:p>
    <w:p w:rsidR="00DD1914" w:rsidRDefault="00A81A61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коммунальное хозяйство </w:t>
      </w:r>
      <w:r w:rsidR="009C1081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1081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предусмотрено 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6316,3</w:t>
      </w:r>
      <w:r w:rsidR="009C1081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FB0E49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D06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2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DD19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1A61" w:rsidRDefault="00DD1914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C1081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сетей в микрорайоне  «Юго-Западный»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- 2000,0</w:t>
      </w:r>
      <w:r w:rsidR="001421D1" w:rsidRPr="009139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21D1"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муниципальной программе «Комплексное и устойчивое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в сфере строительства и архитектуры»;</w:t>
      </w:r>
    </w:p>
    <w:p w:rsidR="00DD1914" w:rsidRPr="00980BDE" w:rsidRDefault="00DD1914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мероприятия по поддержке коммунального хозяйства -4316,3 тыс. рублей.</w:t>
      </w:r>
    </w:p>
    <w:p w:rsidR="00980BDE" w:rsidRPr="00980BDE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благоустройству городского поселения </w:t>
      </w:r>
      <w:r w:rsidR="00980BDE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предусмотрены расходы</w:t>
      </w:r>
      <w:r w:rsidR="00980BDE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="00DD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D">
        <w:rPr>
          <w:rFonts w:ascii="Times New Roman" w:hAnsi="Times New Roman" w:cs="Times New Roman"/>
          <w:color w:val="000000" w:themeColor="text1"/>
          <w:sz w:val="28"/>
          <w:szCs w:val="28"/>
        </w:rPr>
        <w:t>52860,0</w:t>
      </w:r>
      <w:r w:rsidR="00980BDE" w:rsidRPr="0098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в том числе:</w:t>
      </w:r>
    </w:p>
    <w:p w:rsidR="00980BDE" w:rsidRPr="00C51ED8" w:rsidRDefault="00980BD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системы наружного освещения – </w:t>
      </w:r>
      <w:r w:rsidR="00801A4E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17500,0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:rsidR="00980BDE" w:rsidRPr="00C51ED8" w:rsidRDefault="00980BD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водоотведению</w:t>
      </w:r>
      <w:r w:rsidR="001421D1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сточных 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вод -</w:t>
      </w:r>
      <w:r w:rsidR="00801A4E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8000,0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:rsidR="00980BDE" w:rsidRPr="00C51ED8" w:rsidRDefault="00980BD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ритуальных услуг и содержание мест захоронения – </w:t>
      </w:r>
      <w:r w:rsidR="00801A4E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21D1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</w:t>
      </w: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:rsidR="00980BDE" w:rsidRPr="00C51ED8" w:rsidRDefault="00980BD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благоустройству территории- </w:t>
      </w:r>
      <w:r w:rsidR="00801A4E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20200,0</w:t>
      </w:r>
      <w:r w:rsidR="006509C0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блей;</w:t>
      </w:r>
    </w:p>
    <w:p w:rsidR="00980BDE" w:rsidRPr="00C51ED8" w:rsidRDefault="00980BD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массового отдыха жителей -</w:t>
      </w:r>
      <w:r w:rsidR="00801A4E"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3900,0</w:t>
      </w:r>
      <w:r w:rsidRPr="00C51ED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509C0" w:rsidRPr="00C51ED8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23C" w:rsidRPr="00980BDE" w:rsidRDefault="00E0323C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F8C" w:rsidRPr="000C034F" w:rsidRDefault="002E532A" w:rsidP="00231E4A">
      <w:pPr>
        <w:pStyle w:val="ad"/>
        <w:ind w:firstLine="709"/>
        <w:jc w:val="both"/>
        <w:rPr>
          <w:b w:val="0"/>
          <w:sz w:val="28"/>
          <w:szCs w:val="28"/>
        </w:rPr>
      </w:pPr>
      <w:r w:rsidRPr="000C034F">
        <w:rPr>
          <w:i/>
          <w:sz w:val="28"/>
          <w:szCs w:val="28"/>
        </w:rPr>
        <w:t>По р</w:t>
      </w:r>
      <w:r w:rsidR="00974F8C" w:rsidRPr="000C034F">
        <w:rPr>
          <w:i/>
          <w:sz w:val="28"/>
          <w:szCs w:val="28"/>
        </w:rPr>
        <w:t>аздел</w:t>
      </w:r>
      <w:r w:rsidRPr="000C034F">
        <w:rPr>
          <w:i/>
          <w:sz w:val="28"/>
          <w:szCs w:val="28"/>
        </w:rPr>
        <w:t>у</w:t>
      </w:r>
      <w:r w:rsidR="00974F8C" w:rsidRPr="000C034F">
        <w:rPr>
          <w:i/>
          <w:sz w:val="28"/>
          <w:szCs w:val="28"/>
        </w:rPr>
        <w:t xml:space="preserve"> «Обслуживание государственного и муниципального долга»</w:t>
      </w:r>
      <w:r w:rsidR="00974F8C" w:rsidRPr="000C034F">
        <w:rPr>
          <w:b w:val="0"/>
          <w:sz w:val="28"/>
          <w:szCs w:val="28"/>
        </w:rPr>
        <w:t>запланировано</w:t>
      </w:r>
      <w:r w:rsidR="0091390D">
        <w:rPr>
          <w:b w:val="0"/>
          <w:sz w:val="28"/>
          <w:szCs w:val="28"/>
        </w:rPr>
        <w:t>8800,0</w:t>
      </w:r>
      <w:r w:rsidR="00974F8C" w:rsidRPr="000C034F">
        <w:rPr>
          <w:b w:val="0"/>
          <w:sz w:val="28"/>
          <w:szCs w:val="28"/>
        </w:rPr>
        <w:t xml:space="preserve"> тыс. рублей на гашение процентов по муниципальному долгу.</w:t>
      </w:r>
    </w:p>
    <w:p w:rsidR="000914DA" w:rsidRPr="00AD40B7" w:rsidRDefault="000914DA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бюджета на 201</w:t>
      </w:r>
      <w:r w:rsidR="0091390D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предусмотрено выделение межбюджетных трансфертов на финансирование расходов,связанных с передачей полномочий органам муниципального района на 201</w:t>
      </w:r>
      <w:r w:rsidR="00C51ED8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32CFA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3</w:t>
      </w:r>
      <w:r w:rsidR="00C51ED8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32CFA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80,0 тыс. руб</w:t>
      </w:r>
      <w:r w:rsidR="00707853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3F45EE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(Приложение№8</w:t>
      </w:r>
      <w:r w:rsidR="00AA716E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бюджета на 201</w:t>
      </w:r>
      <w:r w:rsidR="00C51ED8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716E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F45EE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2CFA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:rsidR="000914DA" w:rsidRPr="00AD40B7" w:rsidRDefault="000914DA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–обеспечение деятельности финансовых,налоговых,и таможенных органов и органов финансового надзора – 280,0 тыс. руб. ;</w:t>
      </w:r>
    </w:p>
    <w:p w:rsidR="000914DA" w:rsidRPr="00AD40B7" w:rsidRDefault="000914DA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– создание,</w:t>
      </w:r>
      <w:r w:rsidR="00DD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организация деятельности аварийно-спасательных формирований – 3200, 0тыс. руб.;</w:t>
      </w:r>
    </w:p>
    <w:p w:rsidR="000914DA" w:rsidRPr="00AD40B7" w:rsidRDefault="000914DA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–утверждение генеральных планов поселений</w:t>
      </w:r>
      <w:r w:rsidR="008A4B78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100,0 тыс. руб. ;</w:t>
      </w:r>
    </w:p>
    <w:p w:rsidR="000914DA" w:rsidRPr="00AD40B7" w:rsidRDefault="000914DA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теплоснабжения в границах Славянского городского поселения -100,0 тыс. руб</w:t>
      </w:r>
      <w:r w:rsidR="007F3EA6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3F45EE" w:rsidRPr="00AD40B7" w:rsidRDefault="007F3EA6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библиотечного обслуживания -100,0 тыс. руб.</w:t>
      </w:r>
      <w:r w:rsidR="003F45EE"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5EE" w:rsidRPr="00AD40B7" w:rsidRDefault="003F45E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полномочий в сфере бюджетных правоотношений – 100,0 тыс. рублей;</w:t>
      </w:r>
    </w:p>
    <w:p w:rsidR="007F3EA6" w:rsidRPr="00AD40B7" w:rsidRDefault="003F45E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B7">
        <w:rPr>
          <w:rFonts w:ascii="Times New Roman" w:hAnsi="Times New Roman" w:cs="Times New Roman"/>
          <w:color w:val="000000" w:themeColor="text1"/>
          <w:sz w:val="28"/>
          <w:szCs w:val="28"/>
        </w:rPr>
        <w:t>– осуществление муниципального земельного контроля – 100,0 тыс. рублей.</w:t>
      </w:r>
    </w:p>
    <w:p w:rsidR="00C04CCE" w:rsidRPr="00F31150" w:rsidRDefault="00C04CCE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бюджетных ассигнований на исполнение переданных полномочий в соответствие со ст. 174.2 предусмотрено на основании разработанной методики их планирования. Предусмотренные средства в проекте бюджета </w:t>
      </w:r>
      <w:r w:rsidR="00732CFA"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>в сумме 3</w:t>
      </w:r>
      <w:r w:rsidR="00C51ED8"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32CFA"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>80,0 тыс. руб. основаны  на нереалистических расчетах</w:t>
      </w:r>
      <w:r w:rsidR="00A76684"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>, что является необоснованным основанием завышения  объемов финансирования  на перечисленные мероприятия.</w:t>
      </w:r>
    </w:p>
    <w:p w:rsidR="00B641FD" w:rsidRDefault="00B641FD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41FD" w:rsidRDefault="00B641FD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41FD" w:rsidRPr="0091390D" w:rsidRDefault="00B641FD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63C8" w:rsidRPr="0091390D" w:rsidRDefault="00CF63C8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509C0" w:rsidRDefault="000C034F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6509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Дефицит бюджета  городского поселения на 201</w:t>
      </w:r>
      <w:r w:rsidR="00913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6509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Проектом решения предлагается утвердить </w:t>
      </w:r>
      <w:r w:rsidR="0091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дефицит(</w:t>
      </w:r>
      <w:r w:rsidR="003F4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профицит</w:t>
      </w:r>
      <w:r w:rsidR="0091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 на 201</w:t>
      </w:r>
      <w:r w:rsidR="0091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913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</w:t>
      </w:r>
      <w:r w:rsidR="0022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Проектом решения определены источники финансирования дефицита бюджета (приложение №1</w:t>
      </w:r>
      <w:r w:rsidR="00801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роекта решения) согласно ст.96 БК: </w:t>
      </w:r>
    </w:p>
    <w:p w:rsidR="006509C0" w:rsidRDefault="006509C0" w:rsidP="006509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Кредиты кредитных организаций — 0 тыс.руб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09C0" w:rsidRDefault="006509C0" w:rsidP="006509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получение кредитов от кредитных организаций </w:t>
      </w:r>
      <w:r w:rsidR="008C7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0,0 тыс. 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09C0" w:rsidRDefault="006509C0" w:rsidP="006509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погашение кредитов кредитным организациям -0,0 тыс. 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09C0" w:rsidRDefault="006509C0" w:rsidP="006509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Бюджетные кредиты – </w:t>
      </w:r>
      <w:r w:rsidR="00801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09C0" w:rsidRDefault="006509C0" w:rsidP="006509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получение бюджетных кредитов</w:t>
      </w:r>
      <w:r w:rsidR="00432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01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30000,0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09C0" w:rsidRDefault="006509C0" w:rsidP="006509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погашение бюджетных кредитов</w:t>
      </w:r>
      <w:r w:rsidR="008C7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01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30000,0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3.Объем средств на исполнение  муниципальных гарантий- 0 тыс. 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Остатки средств бюджета – 0 тыс. руб</w:t>
      </w:r>
      <w:r w:rsidR="00B37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1322" w:rsidRDefault="00961322" w:rsidP="005F3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5F" w:rsidRPr="005F3F5A" w:rsidRDefault="00B37296" w:rsidP="005F3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6785F" w:rsidRPr="005F3F5A">
        <w:rPr>
          <w:rFonts w:ascii="Times New Roman" w:hAnsi="Times New Roman" w:cs="Times New Roman"/>
          <w:b/>
          <w:sz w:val="28"/>
          <w:szCs w:val="28"/>
        </w:rPr>
        <w:t xml:space="preserve"> Применение программно-целевого метода планирования</w:t>
      </w:r>
    </w:p>
    <w:p w:rsidR="00B6785F" w:rsidRDefault="00B6785F" w:rsidP="005F3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5A">
        <w:rPr>
          <w:rFonts w:ascii="Times New Roman" w:hAnsi="Times New Roman" w:cs="Times New Roman"/>
          <w:b/>
          <w:sz w:val="28"/>
          <w:szCs w:val="28"/>
        </w:rPr>
        <w:t>расходов Проекта бюджета</w:t>
      </w:r>
    </w:p>
    <w:p w:rsidR="00700563" w:rsidRPr="005F3F5A" w:rsidRDefault="00700563" w:rsidP="005F3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45" w:rsidRDefault="00C66245" w:rsidP="00B3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реализации программно-целевого метода бюджетного планирования объем расходов городского бюджета реализуемых в 201</w:t>
      </w:r>
      <w:r w:rsidR="00707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посредством муниципальных  программ. Проектом решения о бюджете на 201</w:t>
      </w:r>
      <w:r w:rsidR="00707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предполагается финансирование </w:t>
      </w:r>
      <w:r w:rsidR="00BA6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40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 программ (с подпрограммами) на общую сумму </w:t>
      </w:r>
      <w:r w:rsidR="00F5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11872,9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тыс.рублей, что состав</w:t>
      </w:r>
      <w:r w:rsidR="00F5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ит4,0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в структуре расходов </w:t>
      </w:r>
      <w:r w:rsidR="00700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роекта бюджета</w:t>
      </w:r>
      <w:r w:rsidR="00F5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2018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основных направлениях налоговой и бюджетной политике предусмотрен переход к программно-целевому методу стратегического и бюджетного планирования с 2015 года.</w:t>
      </w:r>
    </w:p>
    <w:p w:rsidR="00CF2B7E" w:rsidRPr="00C66245" w:rsidRDefault="00CF2B7E" w:rsidP="00B3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45">
        <w:rPr>
          <w:rFonts w:ascii="Times New Roman" w:hAnsi="Times New Roman" w:cs="Times New Roman"/>
          <w:sz w:val="28"/>
          <w:szCs w:val="28"/>
        </w:rPr>
        <w:t>Проектом бюджета в соответствии с п. 3 ст. 184.1 БК РФ,</w:t>
      </w:r>
      <w:r w:rsidR="00A404E6">
        <w:rPr>
          <w:rFonts w:ascii="Times New Roman" w:hAnsi="Times New Roman" w:cs="Times New Roman"/>
          <w:sz w:val="28"/>
          <w:szCs w:val="28"/>
        </w:rPr>
        <w:t xml:space="preserve"> п.1 ст.19</w:t>
      </w:r>
      <w:r w:rsidRPr="00C6624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утвержден</w:t>
      </w:r>
      <w:r w:rsidR="00970AF1">
        <w:rPr>
          <w:rFonts w:ascii="Times New Roman" w:hAnsi="Times New Roman" w:cs="Times New Roman"/>
          <w:sz w:val="28"/>
          <w:szCs w:val="28"/>
        </w:rPr>
        <w:t xml:space="preserve"> </w:t>
      </w:r>
      <w:r w:rsidRPr="00C66245">
        <w:rPr>
          <w:rFonts w:ascii="Times New Roman" w:hAnsi="Times New Roman" w:cs="Times New Roman"/>
          <w:sz w:val="28"/>
          <w:szCs w:val="28"/>
        </w:rPr>
        <w:t>перечень объемов финансирования муниципальных программ предусмотрен в приложении №</w:t>
      </w:r>
      <w:r w:rsidR="00BA67FC">
        <w:rPr>
          <w:rFonts w:ascii="Times New Roman" w:hAnsi="Times New Roman" w:cs="Times New Roman"/>
          <w:sz w:val="28"/>
          <w:szCs w:val="28"/>
        </w:rPr>
        <w:t xml:space="preserve"> 6</w:t>
      </w:r>
      <w:r w:rsidRPr="00C66245">
        <w:rPr>
          <w:rFonts w:ascii="Times New Roman" w:hAnsi="Times New Roman" w:cs="Times New Roman"/>
          <w:sz w:val="28"/>
          <w:szCs w:val="28"/>
        </w:rPr>
        <w:t xml:space="preserve"> к </w:t>
      </w:r>
      <w:r w:rsidR="00F5731E">
        <w:rPr>
          <w:rFonts w:ascii="Times New Roman" w:hAnsi="Times New Roman" w:cs="Times New Roman"/>
          <w:sz w:val="28"/>
          <w:szCs w:val="28"/>
        </w:rPr>
        <w:t>П</w:t>
      </w:r>
      <w:r w:rsidRPr="00C66245">
        <w:rPr>
          <w:rFonts w:ascii="Times New Roman" w:hAnsi="Times New Roman" w:cs="Times New Roman"/>
          <w:sz w:val="28"/>
          <w:szCs w:val="28"/>
        </w:rPr>
        <w:t>роекту решения о бюджете</w:t>
      </w:r>
      <w:r w:rsidR="00F5731E">
        <w:rPr>
          <w:rFonts w:ascii="Times New Roman" w:hAnsi="Times New Roman" w:cs="Times New Roman"/>
          <w:sz w:val="28"/>
          <w:szCs w:val="28"/>
        </w:rPr>
        <w:t xml:space="preserve"> на 201</w:t>
      </w:r>
      <w:r w:rsidR="00AD40B7">
        <w:rPr>
          <w:rFonts w:ascii="Times New Roman" w:hAnsi="Times New Roman" w:cs="Times New Roman"/>
          <w:sz w:val="28"/>
          <w:szCs w:val="28"/>
        </w:rPr>
        <w:t>9</w:t>
      </w:r>
      <w:r w:rsidR="00F5731E">
        <w:rPr>
          <w:rFonts w:ascii="Times New Roman" w:hAnsi="Times New Roman" w:cs="Times New Roman"/>
          <w:sz w:val="28"/>
          <w:szCs w:val="28"/>
        </w:rPr>
        <w:t xml:space="preserve"> год</w:t>
      </w:r>
      <w:r w:rsidRPr="00C66245">
        <w:rPr>
          <w:rFonts w:ascii="Times New Roman" w:hAnsi="Times New Roman" w:cs="Times New Roman"/>
          <w:sz w:val="28"/>
          <w:szCs w:val="28"/>
        </w:rPr>
        <w:t>, соответствует   объемам предусмотренных средств в бюджете на выполнение мероприятий по программам в приложении №</w:t>
      </w:r>
      <w:r w:rsidR="00BA67FC">
        <w:rPr>
          <w:rFonts w:ascii="Times New Roman" w:hAnsi="Times New Roman" w:cs="Times New Roman"/>
          <w:sz w:val="28"/>
          <w:szCs w:val="28"/>
        </w:rPr>
        <w:t>7</w:t>
      </w:r>
      <w:r w:rsidRPr="00C66245">
        <w:rPr>
          <w:rFonts w:ascii="Times New Roman" w:hAnsi="Times New Roman" w:cs="Times New Roman"/>
          <w:sz w:val="28"/>
          <w:szCs w:val="28"/>
        </w:rPr>
        <w:t xml:space="preserve"> «Распределение расходов по ведомственной структуре расходов»</w:t>
      </w:r>
      <w:r w:rsidR="00BA6980">
        <w:rPr>
          <w:rFonts w:ascii="Times New Roman" w:hAnsi="Times New Roman" w:cs="Times New Roman"/>
          <w:sz w:val="28"/>
          <w:szCs w:val="28"/>
        </w:rPr>
        <w:t xml:space="preserve"> в сумме 13646,2 тыс. рублей</w:t>
      </w:r>
      <w:r w:rsidR="000A505F">
        <w:rPr>
          <w:rFonts w:ascii="Times New Roman" w:hAnsi="Times New Roman" w:cs="Times New Roman"/>
          <w:sz w:val="28"/>
          <w:szCs w:val="28"/>
        </w:rPr>
        <w:t>, что составляет 3,8% от общего объема бюджета на 2019  год</w:t>
      </w:r>
      <w:r w:rsidR="00BA6980">
        <w:rPr>
          <w:rFonts w:ascii="Times New Roman" w:hAnsi="Times New Roman" w:cs="Times New Roman"/>
          <w:sz w:val="28"/>
          <w:szCs w:val="28"/>
        </w:rPr>
        <w:t>.</w:t>
      </w:r>
      <w:r w:rsidRPr="00C6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B7E" w:rsidRDefault="00C66245" w:rsidP="00B3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6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Славянскому городскому поселению постановлениями администрации городского поселения </w:t>
      </w:r>
      <w:r w:rsidR="00A40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28.08.2018 №916 и от 15.05.2018 №496 </w:t>
      </w:r>
      <w:r w:rsidRPr="00C66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рассмотрено и утверждено </w:t>
      </w:r>
      <w:r w:rsidR="00BA6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70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66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 (с подпрограммами) с объемов </w:t>
      </w:r>
      <w:r w:rsidR="00A40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планируемых мероприятий </w:t>
      </w:r>
      <w:r w:rsidR="00BA6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средств местного бюджета </w:t>
      </w:r>
      <w:r w:rsidR="00A40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34722,5</w:t>
      </w:r>
      <w:r w:rsidRPr="00C66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F91857" w:rsidRDefault="00CF2B7E" w:rsidP="00B3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Предусмотренные средства в Проекте бюджета</w:t>
      </w:r>
      <w:r w:rsidR="00F5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0E6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F57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финансирование муниципальных программ </w:t>
      </w:r>
      <w:r w:rsidR="000E6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уменьшены на 21076,3 тыс.рублей.</w:t>
      </w:r>
    </w:p>
    <w:p w:rsidR="00F91857" w:rsidRDefault="00D57BDC" w:rsidP="00B3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муниципальной программе </w:t>
      </w:r>
      <w:r w:rsidR="00F9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E6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FE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современной городской среды в Славянском городском поселении  Славянского района на 2018-2022 годы»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 бюджете на 201</w:t>
      </w:r>
      <w:r w:rsidR="00FE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предусмотрено </w:t>
      </w:r>
      <w:r w:rsidR="00FE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рублей, по программе предусмотрено </w:t>
      </w:r>
      <w:r w:rsidR="00FE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17984,2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сумма расходов в бюджете за</w:t>
      </w:r>
      <w:r w:rsidR="00FE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нижена на 15984,2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D57BDC" w:rsidRPr="00C66245" w:rsidRDefault="00D57BDC" w:rsidP="00B3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муниц</w:t>
      </w:r>
      <w:r w:rsidR="00944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ипальной программе «Комплексное и устойчивое развитие Славянского городского поселения Славянского района в сфере строительства, архитектуры» предусмотрено средств на исполнение программы  в сумме </w:t>
      </w:r>
      <w:r w:rsidR="000E6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11272,1 тыс. рублей</w:t>
      </w:r>
      <w:r w:rsidR="00944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бюджете на 201</w:t>
      </w:r>
      <w:r w:rsidR="000E6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44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предусмотрены расходы в сумме </w:t>
      </w:r>
      <w:r w:rsidR="000E6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5900,0</w:t>
      </w:r>
      <w:r w:rsidR="00944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сумма расходов в бюджете занижена на </w:t>
      </w:r>
      <w:r w:rsidR="000E6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5372,1</w:t>
      </w:r>
      <w:r w:rsidR="00944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B6785F" w:rsidRDefault="00B6785F" w:rsidP="00B372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2 ст. 179 БК РФ муниципальные программы подлежат приведению в соответствие с </w:t>
      </w:r>
      <w:r w:rsidR="00802C42" w:rsidRPr="00BC265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органов местного самоуправления.</w:t>
      </w:r>
    </w:p>
    <w:p w:rsidR="00970AF1" w:rsidRPr="00BC265F" w:rsidRDefault="00970AF1" w:rsidP="00B372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Переход поселения на программно – целевой метод планирования  позволяет эффективно и качественно использовать бюджетные средства ,представляется возможным дать оценку эффективности целевого использования выделенных средств на исполнение программы и оценку работы специалистов - участников муниципальной программы.</w:t>
      </w:r>
    </w:p>
    <w:p w:rsidR="00802C42" w:rsidRPr="00713D7F" w:rsidRDefault="00802C42" w:rsidP="00B775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C0504D" w:themeColor="accent2"/>
          <w:sz w:val="28"/>
          <w:szCs w:val="28"/>
        </w:rPr>
      </w:pPr>
    </w:p>
    <w:p w:rsidR="006509C0" w:rsidRPr="00B775A2" w:rsidRDefault="00802C42" w:rsidP="00B775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="006509C0" w:rsidRPr="00B775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Соблюдение требований основных направлений бюджетной </w:t>
      </w:r>
    </w:p>
    <w:p w:rsidR="006509C0" w:rsidRPr="00B775A2" w:rsidRDefault="006509C0" w:rsidP="00B775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5A2">
        <w:rPr>
          <w:rFonts w:ascii="Times New Roman" w:hAnsi="Times New Roman" w:cs="Times New Roman"/>
          <w:b/>
          <w:bCs/>
          <w:iCs/>
          <w:sz w:val="28"/>
          <w:szCs w:val="28"/>
        </w:rPr>
        <w:t>и налоговой политики при составлении проекта бюджета</w:t>
      </w:r>
    </w:p>
    <w:p w:rsidR="006509C0" w:rsidRPr="00B775A2" w:rsidRDefault="006509C0" w:rsidP="00B775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09C0" w:rsidRPr="00B775A2" w:rsidRDefault="00FE51FA" w:rsidP="00B775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509C0" w:rsidRPr="00B775A2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соответствии с требованиями Бюджетного кодекса Российской Федерации  администрацией  Славянского городского поселения утверждены «Основные направления бюджетной и налоговой политики городского поселения на 201</w:t>
      </w:r>
      <w:r w:rsidR="00011F69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6509C0" w:rsidRPr="00B775A2">
        <w:rPr>
          <w:rFonts w:ascii="Times New Roman" w:hAnsi="Times New Roman" w:cs="Times New Roman"/>
          <w:bCs/>
          <w:iCs/>
          <w:sz w:val="28"/>
          <w:szCs w:val="28"/>
        </w:rPr>
        <w:t xml:space="preserve"> год и плановый период 20</w:t>
      </w:r>
      <w:r w:rsidR="00011F69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6509C0" w:rsidRPr="00B775A2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CF63C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11F6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509C0" w:rsidRPr="00B775A2">
        <w:rPr>
          <w:rFonts w:ascii="Times New Roman" w:hAnsi="Times New Roman" w:cs="Times New Roman"/>
          <w:bCs/>
          <w:iCs/>
          <w:sz w:val="28"/>
          <w:szCs w:val="28"/>
        </w:rPr>
        <w:t xml:space="preserve"> годов», которые необходимы  при составлении проекта бюджета на 201</w:t>
      </w:r>
      <w:r w:rsidR="00011F69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6509C0" w:rsidRPr="00B775A2">
        <w:rPr>
          <w:rFonts w:ascii="Times New Roman" w:hAnsi="Times New Roman" w:cs="Times New Roman"/>
          <w:bCs/>
          <w:iCs/>
          <w:sz w:val="28"/>
          <w:szCs w:val="28"/>
        </w:rPr>
        <w:t xml:space="preserve"> год.</w:t>
      </w:r>
    </w:p>
    <w:p w:rsidR="00EB555F" w:rsidRDefault="00EB555F" w:rsidP="00B77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9C0" w:rsidRPr="00B775A2" w:rsidRDefault="006509C0" w:rsidP="00B77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5A2">
        <w:rPr>
          <w:rFonts w:ascii="Times New Roman" w:hAnsi="Times New Roman" w:cs="Times New Roman"/>
          <w:sz w:val="28"/>
          <w:szCs w:val="28"/>
        </w:rPr>
        <w:t>В 201</w:t>
      </w:r>
      <w:r w:rsidR="00011F69">
        <w:rPr>
          <w:rFonts w:ascii="Times New Roman" w:hAnsi="Times New Roman" w:cs="Times New Roman"/>
          <w:sz w:val="28"/>
          <w:szCs w:val="28"/>
        </w:rPr>
        <w:t>9</w:t>
      </w:r>
      <w:r w:rsidRPr="00B775A2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011F69">
        <w:rPr>
          <w:rFonts w:ascii="Times New Roman" w:hAnsi="Times New Roman" w:cs="Times New Roman"/>
          <w:sz w:val="28"/>
          <w:szCs w:val="28"/>
        </w:rPr>
        <w:t>20</w:t>
      </w:r>
      <w:r w:rsidRPr="00B775A2">
        <w:rPr>
          <w:rFonts w:ascii="Times New Roman" w:hAnsi="Times New Roman" w:cs="Times New Roman"/>
          <w:bCs/>
          <w:sz w:val="28"/>
          <w:szCs w:val="28"/>
        </w:rPr>
        <w:sym w:font="Symbol" w:char="002D"/>
      </w:r>
      <w:r w:rsidRPr="00B775A2">
        <w:rPr>
          <w:rFonts w:ascii="Times New Roman" w:hAnsi="Times New Roman" w:cs="Times New Roman"/>
          <w:sz w:val="28"/>
          <w:szCs w:val="28"/>
        </w:rPr>
        <w:t>20</w:t>
      </w:r>
      <w:r w:rsidR="00CF63C8">
        <w:rPr>
          <w:rFonts w:ascii="Times New Roman" w:hAnsi="Times New Roman" w:cs="Times New Roman"/>
          <w:sz w:val="28"/>
          <w:szCs w:val="28"/>
        </w:rPr>
        <w:t>2</w:t>
      </w:r>
      <w:r w:rsidR="00011F69">
        <w:rPr>
          <w:rFonts w:ascii="Times New Roman" w:hAnsi="Times New Roman" w:cs="Times New Roman"/>
          <w:sz w:val="28"/>
          <w:szCs w:val="28"/>
        </w:rPr>
        <w:t>1</w:t>
      </w:r>
      <w:r w:rsidRPr="00B775A2">
        <w:rPr>
          <w:rFonts w:ascii="Times New Roman" w:hAnsi="Times New Roman" w:cs="Times New Roman"/>
          <w:sz w:val="28"/>
          <w:szCs w:val="28"/>
        </w:rPr>
        <w:t xml:space="preserve"> годах предстоит решить следующие задачи:</w:t>
      </w:r>
    </w:p>
    <w:p w:rsidR="006509C0" w:rsidRPr="00B775A2" w:rsidRDefault="006509C0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A2">
        <w:rPr>
          <w:rFonts w:ascii="Times New Roman" w:hAnsi="Times New Roman" w:cs="Times New Roman"/>
          <w:sz w:val="28"/>
          <w:szCs w:val="28"/>
        </w:rPr>
        <w:t>- обеспечение долгосрочной сбалансированности и устойчивости бюджетной</w:t>
      </w:r>
      <w:r w:rsidR="001466AD" w:rsidRPr="00B775A2">
        <w:rPr>
          <w:rFonts w:ascii="Times New Roman" w:hAnsi="Times New Roman" w:cs="Times New Roman"/>
          <w:sz w:val="28"/>
          <w:szCs w:val="28"/>
        </w:rPr>
        <w:t xml:space="preserve"> для продолжения ме</w:t>
      </w:r>
      <w:r w:rsidR="006631F8">
        <w:rPr>
          <w:rFonts w:ascii="Times New Roman" w:hAnsi="Times New Roman" w:cs="Times New Roman"/>
          <w:sz w:val="28"/>
          <w:szCs w:val="28"/>
        </w:rPr>
        <w:t>р</w:t>
      </w:r>
      <w:r w:rsidR="001466AD" w:rsidRPr="00B775A2">
        <w:rPr>
          <w:rFonts w:ascii="Times New Roman" w:hAnsi="Times New Roman" w:cs="Times New Roman"/>
          <w:sz w:val="28"/>
          <w:szCs w:val="28"/>
        </w:rPr>
        <w:t>, направленных на ограничение дефицита и уровня долга</w:t>
      </w:r>
      <w:r w:rsidRPr="00B775A2">
        <w:rPr>
          <w:rFonts w:ascii="Times New Roman" w:hAnsi="Times New Roman" w:cs="Times New Roman"/>
          <w:sz w:val="28"/>
          <w:szCs w:val="28"/>
        </w:rPr>
        <w:t>;</w:t>
      </w:r>
    </w:p>
    <w:p w:rsidR="006509C0" w:rsidRPr="00B775A2" w:rsidRDefault="006509C0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775A2">
        <w:rPr>
          <w:rFonts w:ascii="Times New Roman" w:hAnsi="Times New Roman" w:cs="Times New Roman"/>
          <w:sz w:val="28"/>
          <w:szCs w:val="28"/>
        </w:rPr>
        <w:t>- внесение изменений в муниципальные правовые акты в связи с изменениями в Бюджетный кодекс Российской Федерации;</w:t>
      </w:r>
    </w:p>
    <w:p w:rsidR="006509C0" w:rsidRPr="00B775A2" w:rsidRDefault="006509C0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A2">
        <w:rPr>
          <w:rFonts w:ascii="Times New Roman" w:hAnsi="Times New Roman" w:cs="Times New Roman"/>
          <w:sz w:val="28"/>
          <w:szCs w:val="28"/>
        </w:rPr>
        <w:t>- реализация мероприятий по увеличению поступлений налоговых и неналоговых доходов и сокращению задолженности по платежам в бюджет города;</w:t>
      </w:r>
    </w:p>
    <w:p w:rsidR="006509C0" w:rsidRPr="00B775A2" w:rsidRDefault="00856126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</w:t>
      </w:r>
      <w:r w:rsidR="00B40BE9">
        <w:rPr>
          <w:rFonts w:ascii="Times New Roman" w:eastAsia="Calibri" w:hAnsi="Times New Roman" w:cs="Times New Roman"/>
          <w:sz w:val="28"/>
          <w:szCs w:val="28"/>
        </w:rPr>
        <w:t>овышение результативности использования средств местного бюджета ,повышение эффективности деятельности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09C0" w:rsidRDefault="006509C0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5A2">
        <w:rPr>
          <w:rFonts w:ascii="Times New Roman" w:eastAsia="Calibri" w:hAnsi="Times New Roman" w:cs="Times New Roman"/>
          <w:sz w:val="28"/>
          <w:szCs w:val="28"/>
        </w:rPr>
        <w:t>- проведение работы по анализу деятельности муниципальных учреждений с целью выработки предложений по оптимизации их структуры (изменение типа, создание новых учреждений, реорганизация и ликвидация существующих учреждений);</w:t>
      </w:r>
    </w:p>
    <w:p w:rsidR="00856126" w:rsidRPr="00B775A2" w:rsidRDefault="00856126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развитие муниципального финансового контроля;</w:t>
      </w:r>
    </w:p>
    <w:p w:rsidR="00B775A2" w:rsidRPr="00B775A2" w:rsidRDefault="00B775A2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A2">
        <w:rPr>
          <w:rFonts w:ascii="Times New Roman" w:hAnsi="Times New Roman" w:cs="Times New Roman"/>
          <w:sz w:val="28"/>
          <w:szCs w:val="28"/>
        </w:rPr>
        <w:t>- оптимизация расходов на обслуживание муниципального долга</w:t>
      </w:r>
      <w:r w:rsidR="00214CF7">
        <w:rPr>
          <w:rFonts w:ascii="Times New Roman" w:hAnsi="Times New Roman" w:cs="Times New Roman"/>
          <w:sz w:val="28"/>
          <w:szCs w:val="28"/>
        </w:rPr>
        <w:t>;</w:t>
      </w:r>
    </w:p>
    <w:p w:rsidR="006509C0" w:rsidRDefault="006509C0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5A2">
        <w:rPr>
          <w:rFonts w:ascii="Times New Roman" w:eastAsia="Calibri" w:hAnsi="Times New Roman" w:cs="Times New Roman"/>
          <w:sz w:val="28"/>
          <w:szCs w:val="28"/>
        </w:rPr>
        <w:t>- обеспечение прозрачности муниципальных финансов и открытости бюджета для граждан</w:t>
      </w:r>
      <w:r w:rsidR="00011F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F69" w:rsidRDefault="00011F69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развитие программно-целевых методов управления;</w:t>
      </w:r>
    </w:p>
    <w:p w:rsidR="00011F69" w:rsidRDefault="00011F69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–повышение качества оказываемых муниципальных услуг</w:t>
      </w:r>
      <w:r w:rsidR="00785A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5A3D" w:rsidRPr="00B775A2" w:rsidRDefault="00785A3D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–повышение эффективности и оптимизации инвестиционных расходов.</w:t>
      </w:r>
    </w:p>
    <w:p w:rsidR="00473EB3" w:rsidRPr="00B775A2" w:rsidRDefault="00473EB3" w:rsidP="00B77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A2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</w:t>
      </w:r>
      <w:r w:rsidR="00B775A2" w:rsidRPr="00B775A2">
        <w:rPr>
          <w:rFonts w:ascii="Times New Roman" w:hAnsi="Times New Roman" w:cs="Times New Roman"/>
          <w:sz w:val="28"/>
          <w:szCs w:val="28"/>
        </w:rPr>
        <w:t>финансов является построение целостной системы открытости деятельности муниципальных органов на базе системы «Электронный бюджет».</w:t>
      </w:r>
    </w:p>
    <w:p w:rsidR="00B775A2" w:rsidRPr="00B775A2" w:rsidRDefault="00B775A2" w:rsidP="00B77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509C0" w:rsidRDefault="00CF77C8" w:rsidP="00B77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775A2">
        <w:rPr>
          <w:rFonts w:ascii="Times New Roman" w:hAnsi="Times New Roman" w:cs="Times New Roman"/>
          <w:color w:val="000000"/>
          <w:sz w:val="28"/>
          <w:szCs w:val="28"/>
        </w:rPr>
        <w:t>Для обеспечения достаточного уровня доходов бюджета Славянского городского поселения в целях решения вопросов местного значения налоговая политикана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11F6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>годиплановыйпериод 20</w:t>
      </w:r>
      <w:r w:rsidR="00011F6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09C0" w:rsidRPr="00B775A2">
        <w:rPr>
          <w:rFonts w:ascii="Times New Roman" w:hAnsi="Times New Roman" w:cs="Times New Roman"/>
          <w:bCs/>
          <w:sz w:val="28"/>
          <w:szCs w:val="28"/>
        </w:rPr>
        <w:sym w:font="Symbol" w:char="002D"/>
      </w:r>
      <w:r w:rsidR="006509C0" w:rsidRPr="00B775A2">
        <w:rPr>
          <w:rFonts w:ascii="Times New Roman" w:hAnsi="Times New Roman" w:cs="Times New Roman"/>
          <w:bCs/>
          <w:sz w:val="28"/>
          <w:szCs w:val="28"/>
        </w:rPr>
        <w:t> 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F63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1F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годов </w:t>
      </w:r>
      <w:r w:rsidRPr="00B775A2">
        <w:rPr>
          <w:rFonts w:ascii="Times New Roman" w:hAnsi="Times New Roman" w:cs="Times New Roman"/>
          <w:color w:val="000000"/>
          <w:sz w:val="28"/>
          <w:szCs w:val="28"/>
        </w:rPr>
        <w:t>будет направлен</w:t>
      </w:r>
      <w:r w:rsidR="00214C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>, с одной стороны,</w:t>
      </w:r>
      <w:r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бюджетной устойчивости, </w:t>
      </w:r>
      <w:r w:rsidR="006509C0" w:rsidRPr="00B775A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динамичного поступления доходов в бюджет городского поселения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ответственности  главных администраторов доходов за выполнение </w:t>
      </w:r>
      <w:r w:rsidR="00C26FE0"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плановых показателей поступления доходов в бюджет  и снижение недоимки по административным платежам. С 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другой стороны, привлечение инвестиций и рост капитальных вложений, обеспечивающие развитие экономики во всех сферах деятельности и увеличение налогового потенциала поселения</w:t>
      </w:r>
      <w:r w:rsidR="00C26FE0"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, активизация работы комиссии по мобилизации доходов бюджета Славянского городского поселения </w:t>
      </w:r>
      <w:r w:rsidR="006509C0" w:rsidRPr="00B775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563" w:rsidRPr="00B775A2" w:rsidRDefault="00700563" w:rsidP="00B77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509C0" w:rsidRPr="00B775A2" w:rsidRDefault="006509C0" w:rsidP="00B77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775A2">
        <w:rPr>
          <w:rFonts w:ascii="Times New Roman" w:hAnsi="Times New Roman" w:cs="Times New Roman"/>
          <w:color w:val="000000"/>
          <w:sz w:val="28"/>
          <w:szCs w:val="28"/>
        </w:rPr>
        <w:t>Налоговая политика город</w:t>
      </w:r>
      <w:r w:rsidR="00E815C5" w:rsidRPr="00B775A2">
        <w:rPr>
          <w:rFonts w:ascii="Times New Roman" w:hAnsi="Times New Roman" w:cs="Times New Roman"/>
          <w:color w:val="000000"/>
          <w:sz w:val="28"/>
          <w:szCs w:val="28"/>
        </w:rPr>
        <w:t>ского поселения</w:t>
      </w:r>
      <w:r w:rsidRPr="00B775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нацелена на увеличение уровня собираемости налоговых доходов, сокращение задолженности в бюджет</w:t>
      </w:r>
      <w:r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="00D33556"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достаточного и качественного выполнения задач и функций</w:t>
      </w:r>
      <w:r w:rsidR="00B775A2" w:rsidRPr="00B775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3556" w:rsidRPr="00B775A2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возложенных на органы местного самоуправления</w:t>
      </w:r>
      <w:r w:rsidRPr="00B775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40D" w:rsidRDefault="00FF740D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9C0" w:rsidRDefault="00802C42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6509C0"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социально-экономического развития городского поселения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9C0" w:rsidRDefault="00C80815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с Проектом бюджета на 2019 год на </w:t>
      </w:r>
      <w:r w:rsidR="006509C0">
        <w:rPr>
          <w:rFonts w:ascii="Times New Roman" w:hAnsi="Times New Roman" w:cs="Times New Roman"/>
          <w:bCs/>
          <w:sz w:val="28"/>
          <w:szCs w:val="28"/>
        </w:rPr>
        <w:t xml:space="preserve"> рассмотрение сесси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6509C0">
        <w:rPr>
          <w:rFonts w:ascii="Times New Roman" w:hAnsi="Times New Roman" w:cs="Times New Roman"/>
          <w:bCs/>
          <w:sz w:val="28"/>
          <w:szCs w:val="28"/>
        </w:rPr>
        <w:t xml:space="preserve">  Совета городского поселения</w:t>
      </w:r>
      <w:r w:rsidR="00CF63C8">
        <w:rPr>
          <w:rFonts w:ascii="Times New Roman" w:hAnsi="Times New Roman" w:cs="Times New Roman"/>
          <w:bCs/>
          <w:sz w:val="28"/>
          <w:szCs w:val="28"/>
        </w:rPr>
        <w:t xml:space="preserve">  пр</w:t>
      </w:r>
      <w:r w:rsidR="006509C0">
        <w:rPr>
          <w:rFonts w:ascii="Times New Roman" w:hAnsi="Times New Roman" w:cs="Times New Roman"/>
          <w:bCs/>
          <w:sz w:val="28"/>
          <w:szCs w:val="28"/>
        </w:rPr>
        <w:t>едоставлены: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проект решения «Об индикативном плане социально- экономического развития Славянского городского поселения Славянского района на 201</w:t>
      </w:r>
      <w:r w:rsidR="009A7BB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отчет по индикативному плану социально-экономического развития Славянского городского поселения за 201</w:t>
      </w:r>
      <w:r w:rsidR="009A7B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год.</w:t>
      </w:r>
    </w:p>
    <w:p w:rsidR="006509C0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Проведенный анализ </w:t>
      </w:r>
      <w:r w:rsidR="00ED717D">
        <w:rPr>
          <w:rFonts w:ascii="Times New Roman" w:hAnsi="Times New Roman" w:cs="Times New Roman"/>
          <w:bCs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Славянского городского поселения за 201</w:t>
      </w:r>
      <w:r w:rsidR="009A7BB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показал, что проведенные на основе статистической информации большинство показателей, характеризующих социально - экономическое развитие городского поселения, показывает рост и стабильность работы предприятий.</w:t>
      </w:r>
    </w:p>
    <w:p w:rsidR="009A7BB1" w:rsidRDefault="006509C0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разработкой  проекта бюджета на очередной финансовый 201</w:t>
      </w:r>
      <w:r w:rsidR="009A7BB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(ст.169 БК РФ) постановлением администрации Славянского городского поселения  от </w:t>
      </w:r>
      <w:r w:rsidR="009A7BB1">
        <w:rPr>
          <w:rFonts w:ascii="Times New Roman" w:hAnsi="Times New Roman" w:cs="Times New Roman"/>
          <w:bCs/>
          <w:sz w:val="28"/>
          <w:szCs w:val="28"/>
        </w:rPr>
        <w:t>09.10.2018</w:t>
      </w:r>
      <w:r w:rsidR="00CF63C8">
        <w:rPr>
          <w:rFonts w:ascii="Times New Roman" w:hAnsi="Times New Roman" w:cs="Times New Roman"/>
          <w:bCs/>
          <w:sz w:val="28"/>
          <w:szCs w:val="28"/>
        </w:rPr>
        <w:t>7</w:t>
      </w:r>
      <w:r w:rsidR="00214CF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14C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CF63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A7B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226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«Среднесрочный финансовый план Славянского городского поселения на 201</w:t>
      </w:r>
      <w:r w:rsidR="009A7BB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CF63C8">
        <w:rPr>
          <w:rFonts w:ascii="Times New Roman" w:hAnsi="Times New Roman" w:cs="Times New Roman"/>
          <w:bCs/>
          <w:sz w:val="28"/>
          <w:szCs w:val="28"/>
        </w:rPr>
        <w:t>2</w:t>
      </w:r>
      <w:r w:rsidR="009A7BB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годы». Среднесрочный финансовый план 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 доходов и расходов бюджета на очередной финансовый год и плановый период 201</w:t>
      </w:r>
      <w:r w:rsidR="009A7BB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CF63C8">
        <w:rPr>
          <w:rFonts w:ascii="Times New Roman" w:hAnsi="Times New Roman" w:cs="Times New Roman"/>
          <w:bCs/>
          <w:sz w:val="28"/>
          <w:szCs w:val="28"/>
        </w:rPr>
        <w:t>2</w:t>
      </w:r>
      <w:r w:rsidR="009A7BB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(ст. 1</w:t>
      </w:r>
      <w:r w:rsidR="009A7BB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процессе).</w:t>
      </w:r>
    </w:p>
    <w:p w:rsidR="006509C0" w:rsidRDefault="009A7BB1" w:rsidP="00650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Значение показателей среднесрочного финансового плана предусмотренные на 2019 год  соответствуют основным показателям предусмотренные в Проекте бюджета на 2019 год.</w:t>
      </w:r>
    </w:p>
    <w:p w:rsidR="00FF740D" w:rsidRDefault="00FF740D" w:rsidP="0080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924F4" w:rsidRDefault="00802C42" w:rsidP="0080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</w:t>
      </w:r>
      <w:r w:rsidR="00DB74FE" w:rsidRPr="00DB7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Выводы</w:t>
      </w:r>
    </w:p>
    <w:p w:rsidR="00153A7F" w:rsidRDefault="00153A7F" w:rsidP="0080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74FE" w:rsidRDefault="00DB74FE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A7F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«О бюджете </w:t>
      </w:r>
      <w:r w:rsidR="005F7FA9" w:rsidRPr="00153A7F">
        <w:rPr>
          <w:rFonts w:ascii="Times New Roman" w:hAnsi="Times New Roman" w:cs="Times New Roman"/>
          <w:color w:val="000000"/>
          <w:sz w:val="28"/>
          <w:szCs w:val="28"/>
        </w:rPr>
        <w:t>Славянского городского поселения Славянского района на 201</w:t>
      </w:r>
      <w:r w:rsidR="00A766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F7FA9" w:rsidRPr="00153A7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153A7F">
        <w:rPr>
          <w:rFonts w:ascii="Times New Roman" w:hAnsi="Times New Roman" w:cs="Times New Roman"/>
          <w:color w:val="000000"/>
          <w:sz w:val="28"/>
          <w:szCs w:val="28"/>
        </w:rPr>
        <w:t xml:space="preserve">» представлен в </w:t>
      </w:r>
      <w:r w:rsidR="005F7FA9" w:rsidRPr="00153A7F">
        <w:rPr>
          <w:rFonts w:ascii="Times New Roman" w:hAnsi="Times New Roman" w:cs="Times New Roman"/>
          <w:color w:val="000000"/>
          <w:sz w:val="28"/>
          <w:szCs w:val="28"/>
        </w:rPr>
        <w:t xml:space="preserve">Совет Славянского городского поселения </w:t>
      </w:r>
      <w:r w:rsidRPr="00153A7F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срока, предусмотренного  Положения о бюджетном процессе в </w:t>
      </w:r>
      <w:r w:rsidR="005F7FA9" w:rsidRPr="00153A7F">
        <w:rPr>
          <w:rFonts w:ascii="Times New Roman" w:hAnsi="Times New Roman" w:cs="Times New Roman"/>
          <w:color w:val="000000"/>
          <w:sz w:val="28"/>
          <w:szCs w:val="28"/>
        </w:rPr>
        <w:t>Славянском городском поселении Славянского района.</w:t>
      </w:r>
    </w:p>
    <w:p w:rsidR="00E27A3A" w:rsidRPr="00153A7F" w:rsidRDefault="00DB74FE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5F7FA9" w:rsidRPr="00153A7F">
        <w:rPr>
          <w:rFonts w:ascii="Times New Roman" w:hAnsi="Times New Roman" w:cs="Times New Roman"/>
          <w:sz w:val="28"/>
          <w:szCs w:val="28"/>
        </w:rPr>
        <w:t>П</w:t>
      </w:r>
      <w:r w:rsidRPr="00153A7F">
        <w:rPr>
          <w:rFonts w:ascii="Times New Roman" w:hAnsi="Times New Roman" w:cs="Times New Roman"/>
          <w:sz w:val="28"/>
          <w:szCs w:val="28"/>
        </w:rPr>
        <w:t>роект решения  «</w:t>
      </w:r>
      <w:r w:rsidR="005F7FA9" w:rsidRPr="00153A7F">
        <w:rPr>
          <w:rFonts w:ascii="Times New Roman" w:hAnsi="Times New Roman" w:cs="Times New Roman"/>
          <w:color w:val="000000"/>
          <w:sz w:val="28"/>
          <w:szCs w:val="28"/>
        </w:rPr>
        <w:t>О бюджете Славянского городского поселения Славянского района на 201</w:t>
      </w:r>
      <w:r w:rsidR="00A766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F7FA9" w:rsidRPr="00153A7F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Pr="00153A7F">
        <w:rPr>
          <w:rFonts w:ascii="Times New Roman" w:hAnsi="Times New Roman" w:cs="Times New Roman"/>
          <w:sz w:val="28"/>
          <w:szCs w:val="28"/>
        </w:rPr>
        <w:t xml:space="preserve">соответствует требованиям ст. 184.2 БК РФ, Положения </w:t>
      </w:r>
      <w:r w:rsidR="005F7FA9" w:rsidRPr="00153A7F">
        <w:rPr>
          <w:rFonts w:ascii="Times New Roman" w:hAnsi="Times New Roman" w:cs="Times New Roman"/>
          <w:color w:val="000000"/>
          <w:sz w:val="28"/>
          <w:szCs w:val="28"/>
        </w:rPr>
        <w:t>о бюджетном процессе в Славянском городском поселении Славянского района</w:t>
      </w:r>
      <w:r w:rsidRPr="00153A7F">
        <w:rPr>
          <w:rFonts w:ascii="Times New Roman" w:hAnsi="Times New Roman" w:cs="Times New Roman"/>
          <w:sz w:val="28"/>
          <w:szCs w:val="28"/>
        </w:rPr>
        <w:t xml:space="preserve"> в части полноты</w:t>
      </w:r>
      <w:r w:rsidR="00D54846">
        <w:rPr>
          <w:rFonts w:ascii="Times New Roman" w:hAnsi="Times New Roman" w:cs="Times New Roman"/>
          <w:sz w:val="28"/>
          <w:szCs w:val="28"/>
        </w:rPr>
        <w:t>,</w:t>
      </w:r>
      <w:r w:rsidRPr="00153A7F">
        <w:rPr>
          <w:rFonts w:ascii="Times New Roman" w:hAnsi="Times New Roman" w:cs="Times New Roman"/>
          <w:sz w:val="28"/>
          <w:szCs w:val="28"/>
        </w:rPr>
        <w:t xml:space="preserve"> представленных одновременно с проектом решения документов и материалов.</w:t>
      </w:r>
    </w:p>
    <w:p w:rsidR="00E27A3A" w:rsidRPr="00153A7F" w:rsidRDefault="00E27A3A" w:rsidP="00153A7F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153A7F">
        <w:rPr>
          <w:color w:val="000000"/>
          <w:sz w:val="28"/>
          <w:szCs w:val="28"/>
        </w:rPr>
        <w:t>При составлении Проекта бюджета соблюден принцип сбалансированности бюджета</w:t>
      </w:r>
      <w:r w:rsidR="00A76684">
        <w:rPr>
          <w:color w:val="000000"/>
          <w:sz w:val="28"/>
          <w:szCs w:val="28"/>
        </w:rPr>
        <w:t xml:space="preserve"> </w:t>
      </w:r>
      <w:r w:rsidRPr="00153A7F">
        <w:rPr>
          <w:color w:val="000000"/>
          <w:sz w:val="28"/>
          <w:szCs w:val="28"/>
        </w:rPr>
        <w:t>в соответствии со ст. 33 БК РФ.</w:t>
      </w:r>
    </w:p>
    <w:p w:rsidR="00E27A3A" w:rsidRPr="00153A7F" w:rsidRDefault="00E27A3A" w:rsidP="00153A7F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153A7F">
        <w:rPr>
          <w:color w:val="000000"/>
          <w:sz w:val="28"/>
          <w:szCs w:val="28"/>
        </w:rPr>
        <w:t>В Проекте бюджета коды бюджетной классификации доходов, расходов, источников финансирования дефицита бюджета сгруппированы в соответствии с Приказом Минфина России от 01.07.2013 № 65н (</w:t>
      </w:r>
      <w:r w:rsidR="00F5731E">
        <w:rPr>
          <w:color w:val="000000"/>
          <w:sz w:val="28"/>
          <w:szCs w:val="28"/>
        </w:rPr>
        <w:t>с учетом внесенных изменений</w:t>
      </w:r>
      <w:r w:rsidRPr="00153A7F">
        <w:rPr>
          <w:color w:val="000000"/>
          <w:sz w:val="28"/>
          <w:szCs w:val="28"/>
        </w:rPr>
        <w:t>) во исполнение ст. 29 БК РФ.</w:t>
      </w:r>
    </w:p>
    <w:p w:rsidR="00E27A3A" w:rsidRPr="00153A7F" w:rsidRDefault="00E27A3A" w:rsidP="00153A7F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153A7F">
        <w:rPr>
          <w:color w:val="000000"/>
          <w:sz w:val="28"/>
          <w:szCs w:val="28"/>
        </w:rPr>
        <w:t>В Проекте бюджета предусмотрены бюджетные ассигнования на исполнение публичных нормативных обязательств в соответствии с абз. 2 п. 2 ст. 74.1 БК РФ.</w:t>
      </w:r>
    </w:p>
    <w:p w:rsidR="00E27A3A" w:rsidRPr="00153A7F" w:rsidRDefault="00E27A3A" w:rsidP="00153A7F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153A7F">
        <w:rPr>
          <w:color w:val="000000"/>
          <w:sz w:val="28"/>
          <w:szCs w:val="28"/>
        </w:rPr>
        <w:t>Предельный объем муниципального долга Славянского городского поселения предусмотрен в Проекте бюджета в соответствии с ограничениями, установленными абз. 1 п. 3 ст. 107 БК РФ.</w:t>
      </w:r>
    </w:p>
    <w:p w:rsidR="00E27A3A" w:rsidRPr="00153A7F" w:rsidRDefault="00E27A3A" w:rsidP="00153A7F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153A7F">
        <w:rPr>
          <w:color w:val="000000"/>
          <w:sz w:val="28"/>
          <w:szCs w:val="28"/>
        </w:rPr>
        <w:t xml:space="preserve">Предельный объем муниципальных заимствований, утверждаемых Программой муниципальных внутренних заимствований в составе Проекта бюджета в соответствии с п. 1 ст. 110.1 БК РФ, не превышает сумму, направляемую на финансирование дефицита бюджета и (или) погашение долговых обязательств </w:t>
      </w:r>
      <w:r w:rsidR="007618BB">
        <w:rPr>
          <w:color w:val="000000"/>
          <w:sz w:val="28"/>
          <w:szCs w:val="28"/>
        </w:rPr>
        <w:t xml:space="preserve">по </w:t>
      </w:r>
      <w:r w:rsidRPr="00153A7F">
        <w:rPr>
          <w:color w:val="000000"/>
          <w:sz w:val="28"/>
          <w:szCs w:val="28"/>
        </w:rPr>
        <w:t>Славянск</w:t>
      </w:r>
      <w:r w:rsidR="007618BB">
        <w:rPr>
          <w:color w:val="000000"/>
          <w:sz w:val="28"/>
          <w:szCs w:val="28"/>
        </w:rPr>
        <w:t xml:space="preserve">ому </w:t>
      </w:r>
      <w:r w:rsidRPr="00153A7F">
        <w:rPr>
          <w:color w:val="000000"/>
          <w:sz w:val="28"/>
          <w:szCs w:val="28"/>
        </w:rPr>
        <w:t xml:space="preserve">  городск</w:t>
      </w:r>
      <w:r w:rsidR="007618BB">
        <w:rPr>
          <w:color w:val="000000"/>
          <w:sz w:val="28"/>
          <w:szCs w:val="28"/>
        </w:rPr>
        <w:t>ому</w:t>
      </w:r>
      <w:r w:rsidRPr="00153A7F">
        <w:rPr>
          <w:color w:val="000000"/>
          <w:sz w:val="28"/>
          <w:szCs w:val="28"/>
        </w:rPr>
        <w:t xml:space="preserve"> поселени</w:t>
      </w:r>
      <w:r w:rsidR="007618BB">
        <w:rPr>
          <w:color w:val="000000"/>
          <w:sz w:val="28"/>
          <w:szCs w:val="28"/>
        </w:rPr>
        <w:t>ю</w:t>
      </w:r>
      <w:r w:rsidRPr="00153A7F">
        <w:rPr>
          <w:color w:val="000000"/>
          <w:sz w:val="28"/>
          <w:szCs w:val="28"/>
        </w:rPr>
        <w:t xml:space="preserve"> в соответствии со ст. 106 БК РФ.</w:t>
      </w:r>
    </w:p>
    <w:p w:rsidR="00837DCD" w:rsidRPr="007618BB" w:rsidRDefault="00DB74FE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утвержден перечень главных администраторов доходов бюджета города, источники внутреннего финансирования дефицита бюджета города</w:t>
      </w:r>
      <w:r w:rsidR="00837DCD"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4FE" w:rsidRPr="007618BB" w:rsidRDefault="00DB74FE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статьей </w:t>
      </w:r>
      <w:r w:rsidR="00C70317"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7D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70317"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установлена возможность предоставления субсидий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  в целях возмещения затрат или недополученных доходов в связи с производством (реализацией) товаров, выполнением работ, оказанием услуг на безвозмездной и безвозвратной основе. Категории и (или) критерии отбора юридических лиц (за исключением государственных (муниципальных) учреждений), индивидуальных предпринимателей и физических лиц - производителей товаров, работ, услуг, имеющих право на получение субсидий, цели, порядок и условия их предоставления, порядок возврата субсидий в случае нарушения условий, установленных при их предоставлении, установлены правовыми актами администрации </w:t>
      </w:r>
      <w:r w:rsidR="00C70317"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городского поселения Славянского района.</w:t>
      </w:r>
    </w:p>
    <w:p w:rsidR="00837DCD" w:rsidRPr="00153A7F" w:rsidRDefault="00ED0F6D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 бюджета </w:t>
      </w:r>
      <w:r w:rsidR="00837DCD"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Славянского городского поселения </w:t>
      </w:r>
      <w:r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F07DA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6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</w:t>
      </w:r>
      <w:r w:rsidRPr="00153A7F">
        <w:rPr>
          <w:rFonts w:ascii="Times New Roman" w:hAnsi="Times New Roman" w:cs="Times New Roman"/>
          <w:sz w:val="28"/>
          <w:szCs w:val="28"/>
        </w:rPr>
        <w:t xml:space="preserve"> превышает установлен</w:t>
      </w:r>
      <w:r w:rsidR="00A31FE4">
        <w:rPr>
          <w:rFonts w:ascii="Times New Roman" w:hAnsi="Times New Roman" w:cs="Times New Roman"/>
          <w:sz w:val="28"/>
          <w:szCs w:val="28"/>
        </w:rPr>
        <w:t>н</w:t>
      </w:r>
      <w:r w:rsidRPr="00153A7F">
        <w:rPr>
          <w:rFonts w:ascii="Times New Roman" w:hAnsi="Times New Roman" w:cs="Times New Roman"/>
          <w:sz w:val="28"/>
          <w:szCs w:val="28"/>
        </w:rPr>
        <w:t>ое п. 3 ст. 92.1. БК РФ ограничение</w:t>
      </w:r>
      <w:r w:rsidR="00837DCD" w:rsidRPr="00153A7F">
        <w:rPr>
          <w:rFonts w:ascii="Times New Roman" w:hAnsi="Times New Roman" w:cs="Times New Roman"/>
          <w:sz w:val="28"/>
          <w:szCs w:val="28"/>
        </w:rPr>
        <w:t xml:space="preserve"> и </w:t>
      </w:r>
      <w:r w:rsidR="00F07DA7">
        <w:rPr>
          <w:rFonts w:ascii="Times New Roman" w:hAnsi="Times New Roman" w:cs="Times New Roman"/>
          <w:sz w:val="28"/>
          <w:szCs w:val="28"/>
        </w:rPr>
        <w:t>составит 10000,0 тыс. рублей</w:t>
      </w:r>
      <w:r w:rsidRPr="00153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F6D" w:rsidRPr="00153A7F" w:rsidRDefault="00ED0F6D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 xml:space="preserve">Доходная часть бюджета сформирована на основании проекта прогноза социально-экономического развития </w:t>
      </w:r>
      <w:r w:rsidR="00837DCD" w:rsidRPr="00153A7F">
        <w:rPr>
          <w:rFonts w:ascii="Times New Roman" w:hAnsi="Times New Roman" w:cs="Times New Roman"/>
          <w:sz w:val="28"/>
          <w:szCs w:val="28"/>
        </w:rPr>
        <w:t xml:space="preserve">Славянского городского поселения </w:t>
      </w:r>
      <w:r w:rsidRPr="00153A7F">
        <w:rPr>
          <w:rFonts w:ascii="Times New Roman" w:hAnsi="Times New Roman" w:cs="Times New Roman"/>
          <w:sz w:val="28"/>
          <w:szCs w:val="28"/>
        </w:rPr>
        <w:t xml:space="preserve"> на 201</w:t>
      </w:r>
      <w:r w:rsidR="00A76684">
        <w:rPr>
          <w:rFonts w:ascii="Times New Roman" w:hAnsi="Times New Roman" w:cs="Times New Roman"/>
          <w:sz w:val="28"/>
          <w:szCs w:val="28"/>
        </w:rPr>
        <w:t>9</w:t>
      </w:r>
      <w:r w:rsidRPr="00153A7F">
        <w:rPr>
          <w:rFonts w:ascii="Times New Roman" w:hAnsi="Times New Roman" w:cs="Times New Roman"/>
          <w:sz w:val="28"/>
          <w:szCs w:val="28"/>
        </w:rPr>
        <w:t>год в соответствии со ст. 1</w:t>
      </w:r>
      <w:r w:rsidR="00186B7C">
        <w:rPr>
          <w:rFonts w:ascii="Times New Roman" w:hAnsi="Times New Roman" w:cs="Times New Roman"/>
          <w:sz w:val="28"/>
          <w:szCs w:val="28"/>
        </w:rPr>
        <w:t>7</w:t>
      </w:r>
      <w:r w:rsidRPr="00153A7F">
        <w:rPr>
          <w:rFonts w:ascii="Times New Roman" w:hAnsi="Times New Roman" w:cs="Times New Roman"/>
          <w:sz w:val="28"/>
          <w:szCs w:val="28"/>
        </w:rPr>
        <w:t>4.1 БК РФ</w:t>
      </w:r>
      <w:r w:rsidR="00AA7868">
        <w:rPr>
          <w:rFonts w:ascii="Times New Roman" w:hAnsi="Times New Roman" w:cs="Times New Roman"/>
          <w:sz w:val="28"/>
          <w:szCs w:val="28"/>
        </w:rPr>
        <w:t xml:space="preserve"> и составит 3</w:t>
      </w:r>
      <w:r w:rsidR="00A76684">
        <w:rPr>
          <w:rFonts w:ascii="Times New Roman" w:hAnsi="Times New Roman" w:cs="Times New Roman"/>
          <w:sz w:val="28"/>
          <w:szCs w:val="28"/>
        </w:rPr>
        <w:t>55477,4</w:t>
      </w:r>
      <w:r w:rsidR="00AA78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53A7F">
        <w:rPr>
          <w:rFonts w:ascii="Times New Roman" w:hAnsi="Times New Roman" w:cs="Times New Roman"/>
          <w:sz w:val="28"/>
          <w:szCs w:val="28"/>
        </w:rPr>
        <w:t>.</w:t>
      </w:r>
    </w:p>
    <w:p w:rsidR="00ED0F6D" w:rsidRPr="00153A7F" w:rsidRDefault="00ED0F6D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>Перечень утверждаемых в Проекте бюджета доходов соответствует ст. 41, 42, 61.1, 62 БК РФ.</w:t>
      </w:r>
    </w:p>
    <w:p w:rsidR="00ED0F6D" w:rsidRPr="00153A7F" w:rsidRDefault="00ED0F6D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 xml:space="preserve">Проектом бюджета устанавливается размер резервного фонда администрации </w:t>
      </w:r>
      <w:r w:rsidR="00837DCD" w:rsidRPr="00153A7F">
        <w:rPr>
          <w:rFonts w:ascii="Times New Roman" w:hAnsi="Times New Roman" w:cs="Times New Roman"/>
          <w:sz w:val="28"/>
          <w:szCs w:val="28"/>
        </w:rPr>
        <w:t xml:space="preserve">Славянского городского поселении </w:t>
      </w:r>
      <w:r w:rsidR="00AA7868">
        <w:rPr>
          <w:rFonts w:ascii="Times New Roman" w:hAnsi="Times New Roman" w:cs="Times New Roman"/>
          <w:sz w:val="28"/>
          <w:szCs w:val="28"/>
        </w:rPr>
        <w:t>в сумме 20</w:t>
      </w:r>
      <w:r w:rsidR="00A76684">
        <w:rPr>
          <w:rFonts w:ascii="Times New Roman" w:hAnsi="Times New Roman" w:cs="Times New Roman"/>
          <w:sz w:val="28"/>
          <w:szCs w:val="28"/>
        </w:rPr>
        <w:t>0</w:t>
      </w:r>
      <w:r w:rsidR="00AA7868">
        <w:rPr>
          <w:rFonts w:ascii="Times New Roman" w:hAnsi="Times New Roman" w:cs="Times New Roman"/>
          <w:sz w:val="28"/>
          <w:szCs w:val="28"/>
        </w:rPr>
        <w:t>0,0 тыс. рублей</w:t>
      </w:r>
      <w:r w:rsidRPr="00153A7F">
        <w:rPr>
          <w:rFonts w:ascii="Times New Roman" w:hAnsi="Times New Roman" w:cs="Times New Roman"/>
          <w:sz w:val="28"/>
          <w:szCs w:val="28"/>
        </w:rPr>
        <w:t xml:space="preserve"> в соответствии с ограничениями, предусмотренными п. 3 ст. 81 БК РФ.</w:t>
      </w:r>
    </w:p>
    <w:p w:rsidR="00594BE9" w:rsidRDefault="00ED0F6D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837DCD" w:rsidRPr="00153A7F">
        <w:rPr>
          <w:rFonts w:ascii="Times New Roman" w:hAnsi="Times New Roman" w:cs="Times New Roman"/>
          <w:sz w:val="28"/>
          <w:szCs w:val="28"/>
        </w:rPr>
        <w:t xml:space="preserve">Славянского городского поселения </w:t>
      </w:r>
      <w:r w:rsidRPr="00153A7F">
        <w:rPr>
          <w:rFonts w:ascii="Times New Roman" w:hAnsi="Times New Roman" w:cs="Times New Roman"/>
          <w:sz w:val="28"/>
          <w:szCs w:val="28"/>
        </w:rPr>
        <w:t>на 201</w:t>
      </w:r>
      <w:r w:rsidR="00A76684">
        <w:rPr>
          <w:rFonts w:ascii="Times New Roman" w:hAnsi="Times New Roman" w:cs="Times New Roman"/>
          <w:sz w:val="28"/>
          <w:szCs w:val="28"/>
        </w:rPr>
        <w:t>9</w:t>
      </w:r>
      <w:r w:rsidRPr="00153A7F">
        <w:rPr>
          <w:rFonts w:ascii="Times New Roman" w:hAnsi="Times New Roman" w:cs="Times New Roman"/>
          <w:sz w:val="28"/>
          <w:szCs w:val="28"/>
        </w:rPr>
        <w:t xml:space="preserve"> год имеет </w:t>
      </w:r>
      <w:r w:rsidR="004E4CE7" w:rsidRPr="00153A7F">
        <w:rPr>
          <w:rFonts w:ascii="Times New Roman" w:hAnsi="Times New Roman" w:cs="Times New Roman"/>
          <w:sz w:val="28"/>
          <w:szCs w:val="28"/>
        </w:rPr>
        <w:t xml:space="preserve">тенденцию развития жилищно-коммунального хозяйства. </w:t>
      </w:r>
    </w:p>
    <w:p w:rsidR="00594BE9" w:rsidRDefault="00594BE9" w:rsidP="0059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общей сумме бюджетных ассигнований расходы на социально-культурную сферу на 2019 год составят 55864,0 тыс. рублей или 15,7 % от общего объема бюджета; жилищно-коммунальное хозяйство – 16,7 %; национальная экономика-7,7 %; решение общегосударственных вопросов –55,7 %, в котором предусмотрены расходы на содержание общественно - социального центра, в сумме 163028,5 тыс. рублей, что составляет 45,9 % от общей суммы расходов бюджета. </w:t>
      </w:r>
    </w:p>
    <w:p w:rsidR="00F07DA7" w:rsidRDefault="002D0C1A" w:rsidP="00F07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на 201</w:t>
      </w:r>
      <w:r w:rsidR="009F47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составит 3</w:t>
      </w:r>
      <w:r w:rsidR="00A76684">
        <w:rPr>
          <w:rFonts w:ascii="Times New Roman" w:hAnsi="Times New Roman" w:cs="Times New Roman"/>
          <w:sz w:val="28"/>
          <w:szCs w:val="28"/>
        </w:rPr>
        <w:t>55477,4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F47B5">
        <w:rPr>
          <w:rFonts w:ascii="Times New Roman" w:hAnsi="Times New Roman" w:cs="Times New Roman"/>
          <w:sz w:val="28"/>
          <w:szCs w:val="28"/>
        </w:rPr>
        <w:t xml:space="preserve"> или 70,3% к ожидаемому уровню 2018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на 1</w:t>
      </w:r>
      <w:r w:rsidR="009F4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50409,9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9F4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26,7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меньше ожидаемой оценки исполнения бюджета на 201</w:t>
      </w:r>
      <w:r w:rsidR="009F4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по сравнению </w:t>
      </w:r>
      <w:r w:rsidR="00022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исполненными 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</w:t>
      </w:r>
      <w:r w:rsidR="00022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бюджета за  201</w:t>
      </w:r>
      <w:r w:rsidR="009F4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 </w:t>
      </w:r>
      <w:r w:rsidR="00022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меньше в сумме 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F4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52882,5</w:t>
      </w:r>
      <w:r w:rsidR="00F0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9F47B5" w:rsidRPr="0091390D" w:rsidRDefault="009F47B5" w:rsidP="009F4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1150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бюджетных ассигнований на исполнение переданных полномочий в соответствие со ст. 174.2 предусмотрено на основании разработанной методики их планирования. Предусмотренные средства в проекте бюджета в сумме 3880,0 тыс. руб. основаны  на нереалистических расчетах, что является необоснованным основанием завышения  объемов финансирования  на перечисленные мероприятия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07DA7" w:rsidRDefault="00F07DA7" w:rsidP="001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7F" w:rsidRDefault="00ED0F6D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 xml:space="preserve">Доля расходов бюджета на финансирование мероприятий </w:t>
      </w:r>
      <w:r w:rsidR="00F07DA7">
        <w:rPr>
          <w:rFonts w:ascii="Times New Roman" w:hAnsi="Times New Roman" w:cs="Times New Roman"/>
          <w:sz w:val="28"/>
          <w:szCs w:val="28"/>
        </w:rPr>
        <w:t>11</w:t>
      </w:r>
      <w:r w:rsidRPr="00153A7F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4E4CE7" w:rsidRPr="00153A7F">
        <w:rPr>
          <w:rFonts w:ascii="Times New Roman" w:hAnsi="Times New Roman" w:cs="Times New Roman"/>
          <w:sz w:val="28"/>
          <w:szCs w:val="28"/>
        </w:rPr>
        <w:t xml:space="preserve">Славянского городского поселения </w:t>
      </w:r>
      <w:r w:rsidRPr="00153A7F">
        <w:rPr>
          <w:rFonts w:ascii="Times New Roman" w:hAnsi="Times New Roman" w:cs="Times New Roman"/>
          <w:sz w:val="28"/>
          <w:szCs w:val="28"/>
        </w:rPr>
        <w:t>в 201</w:t>
      </w:r>
      <w:r w:rsidR="009F47B5">
        <w:rPr>
          <w:rFonts w:ascii="Times New Roman" w:hAnsi="Times New Roman" w:cs="Times New Roman"/>
          <w:sz w:val="28"/>
          <w:szCs w:val="28"/>
        </w:rPr>
        <w:t>9</w:t>
      </w:r>
      <w:r w:rsidRPr="00153A7F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1F0016">
        <w:rPr>
          <w:rFonts w:ascii="Times New Roman" w:hAnsi="Times New Roman" w:cs="Times New Roman"/>
          <w:sz w:val="28"/>
          <w:szCs w:val="28"/>
        </w:rPr>
        <w:t>и</w:t>
      </w:r>
      <w:r w:rsidR="002D0C1A">
        <w:rPr>
          <w:rFonts w:ascii="Times New Roman" w:hAnsi="Times New Roman" w:cs="Times New Roman"/>
          <w:sz w:val="28"/>
          <w:szCs w:val="28"/>
        </w:rPr>
        <w:t>т</w:t>
      </w:r>
      <w:r w:rsidR="00F4610A">
        <w:rPr>
          <w:rFonts w:ascii="Times New Roman" w:hAnsi="Times New Roman" w:cs="Times New Roman"/>
          <w:sz w:val="28"/>
          <w:szCs w:val="28"/>
        </w:rPr>
        <w:t xml:space="preserve"> 13646,2 тыс. рублей или </w:t>
      </w:r>
      <w:r w:rsidR="009F47B5">
        <w:rPr>
          <w:rFonts w:ascii="Times New Roman" w:hAnsi="Times New Roman" w:cs="Times New Roman"/>
          <w:sz w:val="28"/>
          <w:szCs w:val="28"/>
        </w:rPr>
        <w:t xml:space="preserve"> 3,8</w:t>
      </w:r>
      <w:r w:rsidRPr="00153A7F">
        <w:rPr>
          <w:rFonts w:ascii="Times New Roman" w:hAnsi="Times New Roman" w:cs="Times New Roman"/>
          <w:sz w:val="28"/>
          <w:szCs w:val="28"/>
        </w:rPr>
        <w:t>% от общего объема расходов бюджета на 201</w:t>
      </w:r>
      <w:r w:rsidR="009F47B5">
        <w:rPr>
          <w:rFonts w:ascii="Times New Roman" w:hAnsi="Times New Roman" w:cs="Times New Roman"/>
          <w:sz w:val="28"/>
          <w:szCs w:val="28"/>
        </w:rPr>
        <w:t>9</w:t>
      </w:r>
      <w:r w:rsidR="00153A7F" w:rsidRPr="00153A7F">
        <w:rPr>
          <w:rFonts w:ascii="Times New Roman" w:hAnsi="Times New Roman" w:cs="Times New Roman"/>
          <w:sz w:val="28"/>
          <w:szCs w:val="28"/>
        </w:rPr>
        <w:t xml:space="preserve"> год в соответствии с п. 2 ст. 179 БК РФ.</w:t>
      </w:r>
      <w:r w:rsidR="00F4610A">
        <w:rPr>
          <w:rFonts w:ascii="Times New Roman" w:hAnsi="Times New Roman" w:cs="Times New Roman"/>
          <w:sz w:val="28"/>
          <w:szCs w:val="28"/>
        </w:rPr>
        <w:t xml:space="preserve"> При общих объемах финансирования 11 муниципальных программ в сумме 34722,5 тыс. рублей в Проекте бюджета предусмотрено объем выделяемых бюджетных средств в сумме 13646,2 тыс. рублей.</w:t>
      </w:r>
    </w:p>
    <w:p w:rsidR="00C7535B" w:rsidRDefault="00C7535B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B" w:rsidRDefault="00C7535B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666666"/>
          <w:sz w:val="15"/>
          <w:szCs w:val="15"/>
        </w:rPr>
        <w:t>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C7535B" w:rsidRDefault="00C7535B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B" w:rsidRDefault="00C7535B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27E" w:rsidRPr="00153A7F" w:rsidRDefault="0011227E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расходных обязательств не обеспеченных источниками финансирования Проектом бюджета не предусмотрено. </w:t>
      </w:r>
    </w:p>
    <w:p w:rsidR="00153A7F" w:rsidRPr="00153A7F" w:rsidRDefault="00153A7F" w:rsidP="00153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 xml:space="preserve"> В условиях  ограниченности бюджетных ресурсов планируемый на 201</w:t>
      </w:r>
      <w:r w:rsidR="009F47B5">
        <w:rPr>
          <w:rFonts w:ascii="Times New Roman" w:hAnsi="Times New Roman" w:cs="Times New Roman"/>
          <w:sz w:val="28"/>
          <w:szCs w:val="28"/>
        </w:rPr>
        <w:t>9</w:t>
      </w:r>
      <w:r w:rsidRPr="00153A7F">
        <w:rPr>
          <w:rFonts w:ascii="Times New Roman" w:hAnsi="Times New Roman" w:cs="Times New Roman"/>
          <w:sz w:val="28"/>
          <w:szCs w:val="28"/>
        </w:rPr>
        <w:t xml:space="preserve"> год общий объем межбюджетных трансфертов из </w:t>
      </w:r>
      <w:r w:rsidR="002D0C1A">
        <w:rPr>
          <w:rFonts w:ascii="Times New Roman" w:hAnsi="Times New Roman" w:cs="Times New Roman"/>
          <w:sz w:val="28"/>
          <w:szCs w:val="28"/>
        </w:rPr>
        <w:t>уровней других бюджетов составит 12,4 тыс. рублей</w:t>
      </w:r>
      <w:r w:rsidRPr="00153A7F">
        <w:rPr>
          <w:rFonts w:ascii="Times New Roman" w:hAnsi="Times New Roman" w:cs="Times New Roman"/>
          <w:sz w:val="28"/>
          <w:szCs w:val="28"/>
        </w:rPr>
        <w:t>.</w:t>
      </w:r>
    </w:p>
    <w:p w:rsidR="00153A7F" w:rsidRPr="00153A7F" w:rsidRDefault="00153A7F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F">
        <w:rPr>
          <w:rFonts w:ascii="Times New Roman" w:hAnsi="Times New Roman" w:cs="Times New Roman"/>
          <w:sz w:val="28"/>
          <w:szCs w:val="28"/>
        </w:rPr>
        <w:t xml:space="preserve">  Вместе с тем необходимо отметить, что тенденция  сокращения безвозмездных поступлений планируется ежегодно, но в силу складывающейся экономической ситуации и нестабильности местных бюджетов объемы предоставляемых межбюджетных трансфертов в течение финансового года увеличиваются.</w:t>
      </w:r>
    </w:p>
    <w:p w:rsidR="00153A7F" w:rsidRPr="00153A7F" w:rsidRDefault="00153A7F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F6D" w:rsidRPr="007618BB" w:rsidRDefault="007618BB" w:rsidP="00153A7F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7618BB">
        <w:rPr>
          <w:b/>
          <w:sz w:val="28"/>
          <w:szCs w:val="28"/>
          <w:u w:val="single"/>
        </w:rPr>
        <w:t xml:space="preserve">8. </w:t>
      </w:r>
      <w:r w:rsidR="00ED0F6D" w:rsidRPr="007618BB">
        <w:rPr>
          <w:b/>
          <w:sz w:val="28"/>
          <w:szCs w:val="28"/>
          <w:u w:val="single"/>
        </w:rPr>
        <w:t>Замечания и предложения</w:t>
      </w:r>
    </w:p>
    <w:p w:rsidR="00ED0F6D" w:rsidRPr="00153A7F" w:rsidRDefault="00ED0F6D" w:rsidP="00153A7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ED0F6D" w:rsidRDefault="00ED0F6D" w:rsidP="00153A7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A7F">
        <w:rPr>
          <w:sz w:val="28"/>
          <w:szCs w:val="28"/>
        </w:rPr>
        <w:t xml:space="preserve">В Проекте бюджета объем расходов на реализацию ряда муниципальных программ </w:t>
      </w:r>
      <w:r w:rsidR="00153A7F" w:rsidRPr="00153A7F">
        <w:rPr>
          <w:sz w:val="28"/>
          <w:szCs w:val="28"/>
        </w:rPr>
        <w:t xml:space="preserve">Славянского городского поселения </w:t>
      </w:r>
      <w:r w:rsidRPr="00153A7F">
        <w:rPr>
          <w:sz w:val="28"/>
          <w:szCs w:val="28"/>
        </w:rPr>
        <w:t xml:space="preserve"> запланирован в меньших </w:t>
      </w:r>
      <w:r w:rsidR="00BC265F">
        <w:rPr>
          <w:sz w:val="28"/>
          <w:szCs w:val="28"/>
        </w:rPr>
        <w:t xml:space="preserve"> </w:t>
      </w:r>
      <w:r w:rsidRPr="00153A7F">
        <w:rPr>
          <w:sz w:val="28"/>
          <w:szCs w:val="28"/>
        </w:rPr>
        <w:t>объемах, чем это предусмотрено паспортами муниципальных программ</w:t>
      </w:r>
      <w:r w:rsidR="007618BB">
        <w:rPr>
          <w:sz w:val="28"/>
          <w:szCs w:val="28"/>
        </w:rPr>
        <w:t>.</w:t>
      </w:r>
    </w:p>
    <w:p w:rsidR="00F4610A" w:rsidRDefault="00F4610A" w:rsidP="00F46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65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179 БК РФ муниципальные программы подлежат приведению в соответствие с правовыми актами органов местного самоуправления.</w:t>
      </w:r>
    </w:p>
    <w:p w:rsidR="009F47B5" w:rsidRPr="00BC265F" w:rsidRDefault="009F47B5" w:rsidP="009F4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Переход поселения на программно – целевой метод планирования  позволяет эффективно и качественно использовать бюджетные средства ,представляется возможным дать оценку эффективности целевого использования выделенных средств на исполнение программы и оценку работы специалистов - участников муниципальной программы.</w:t>
      </w:r>
    </w:p>
    <w:p w:rsidR="009F47B5" w:rsidRPr="00153A7F" w:rsidRDefault="009F47B5" w:rsidP="00153A7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0F6D" w:rsidRPr="00D720A3" w:rsidRDefault="00ED0F6D" w:rsidP="00153A7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0A3">
        <w:rPr>
          <w:sz w:val="28"/>
          <w:szCs w:val="28"/>
        </w:rPr>
        <w:t>Проект</w:t>
      </w:r>
      <w:r w:rsidR="00153A7F" w:rsidRPr="00D720A3">
        <w:rPr>
          <w:sz w:val="28"/>
          <w:szCs w:val="28"/>
        </w:rPr>
        <w:t xml:space="preserve">ом </w:t>
      </w:r>
      <w:r w:rsidRPr="00D720A3">
        <w:rPr>
          <w:sz w:val="28"/>
          <w:szCs w:val="28"/>
        </w:rPr>
        <w:t xml:space="preserve"> бюджета</w:t>
      </w:r>
      <w:r w:rsidR="00594BE9">
        <w:rPr>
          <w:sz w:val="28"/>
          <w:szCs w:val="28"/>
        </w:rPr>
        <w:t xml:space="preserve"> </w:t>
      </w:r>
      <w:r w:rsidR="00153A7F" w:rsidRPr="00D720A3">
        <w:rPr>
          <w:sz w:val="28"/>
          <w:szCs w:val="28"/>
        </w:rPr>
        <w:t>не предусмотрено использование средств казенными учреждениями, полученных от оказания платных услуг.</w:t>
      </w:r>
    </w:p>
    <w:p w:rsidR="00A856EA" w:rsidRPr="00D720A3" w:rsidRDefault="00A856EA" w:rsidP="00153A7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0A3">
        <w:rPr>
          <w:sz w:val="28"/>
          <w:szCs w:val="28"/>
        </w:rPr>
        <w:t>В условиях роста муниципального долга и расходов на его обслуживание обеспечить эффективное управление муниципальным долгом, направленное на сдерживание долговой нагрузки, формирование безопасного уровня и структуры муниципального долга, обеспечение долговой устойчивости местного бюджета.</w:t>
      </w:r>
    </w:p>
    <w:p w:rsidR="00ED0F6D" w:rsidRPr="00D720A3" w:rsidRDefault="00945B05" w:rsidP="00153A7F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0A3">
        <w:rPr>
          <w:color w:val="000000" w:themeColor="text1"/>
          <w:sz w:val="28"/>
          <w:szCs w:val="28"/>
        </w:rPr>
        <w:t>С целью недопущения неэффективных расходов на оплату штрафов, пеней, судебных расходов, предусмотреть в Проекте решения о бюджете на 201</w:t>
      </w:r>
      <w:r w:rsidR="00594BE9">
        <w:rPr>
          <w:color w:val="000000" w:themeColor="text1"/>
          <w:sz w:val="28"/>
          <w:szCs w:val="28"/>
        </w:rPr>
        <w:t>9</w:t>
      </w:r>
      <w:r w:rsidRPr="00D720A3">
        <w:rPr>
          <w:color w:val="000000" w:themeColor="text1"/>
          <w:sz w:val="28"/>
          <w:szCs w:val="28"/>
        </w:rPr>
        <w:t xml:space="preserve"> год бюджетные ассигнования на погашение кредиторской задолженности не обеспеченные лимитами бюджетных обязательств в предшествующих периодах.</w:t>
      </w:r>
    </w:p>
    <w:p w:rsidR="00945B05" w:rsidRPr="00D720A3" w:rsidRDefault="00945B05" w:rsidP="00153A7F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0A3">
        <w:rPr>
          <w:color w:val="000000" w:themeColor="text1"/>
          <w:sz w:val="28"/>
          <w:szCs w:val="28"/>
        </w:rPr>
        <w:t>Повысить качество планирования расходов на закупки за счет своевременного определения приоритетных объектов в условиях ограниченности финансовых ресурсов.</w:t>
      </w:r>
    </w:p>
    <w:p w:rsidR="00945B05" w:rsidRPr="00D720A3" w:rsidRDefault="00945B05" w:rsidP="00153A7F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0A3">
        <w:rPr>
          <w:color w:val="000000" w:themeColor="text1"/>
          <w:sz w:val="28"/>
          <w:szCs w:val="28"/>
        </w:rPr>
        <w:t>Обеспечить программно - целевое планирование закупок, ориентированных на реализацию мероприятий и достижения целей муниципальных программ.</w:t>
      </w:r>
    </w:p>
    <w:p w:rsidR="00945B05" w:rsidRPr="00D720A3" w:rsidRDefault="00945B05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395" w:rsidRPr="00D720A3" w:rsidRDefault="00153A7F" w:rsidP="00153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A3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265F" w:rsidRPr="00D720A3">
        <w:rPr>
          <w:rFonts w:ascii="Times New Roman" w:hAnsi="Times New Roman" w:cs="Times New Roman"/>
          <w:sz w:val="28"/>
          <w:szCs w:val="28"/>
        </w:rPr>
        <w:t>на 201</w:t>
      </w:r>
      <w:r w:rsidR="00594BE9">
        <w:rPr>
          <w:rFonts w:ascii="Times New Roman" w:hAnsi="Times New Roman" w:cs="Times New Roman"/>
          <w:sz w:val="28"/>
          <w:szCs w:val="28"/>
        </w:rPr>
        <w:t>9</w:t>
      </w:r>
      <w:r w:rsidR="00BC265F" w:rsidRPr="00D720A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720A3">
        <w:rPr>
          <w:rFonts w:ascii="Times New Roman" w:hAnsi="Times New Roman" w:cs="Times New Roman"/>
          <w:sz w:val="28"/>
          <w:szCs w:val="28"/>
        </w:rPr>
        <w:t xml:space="preserve">может быть принят к рассмотрению Советом депутатов </w:t>
      </w:r>
      <w:r w:rsidR="00DB4395" w:rsidRPr="00D720A3">
        <w:rPr>
          <w:rFonts w:ascii="Times New Roman" w:hAnsi="Times New Roman" w:cs="Times New Roman"/>
          <w:sz w:val="28"/>
          <w:szCs w:val="28"/>
        </w:rPr>
        <w:t>Славянского городского поселения Славянского района.</w:t>
      </w:r>
    </w:p>
    <w:p w:rsidR="00153A7F" w:rsidRPr="00D720A3" w:rsidRDefault="00153A7F" w:rsidP="00DB439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27E" w:rsidRPr="00D720A3" w:rsidRDefault="0011227E" w:rsidP="00DB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BE9" w:rsidRDefault="00594BE9" w:rsidP="00DB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BE9" w:rsidRDefault="00594BE9" w:rsidP="00DB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BE9" w:rsidRDefault="00594BE9" w:rsidP="00DB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567" w:rsidRPr="00EB555F" w:rsidRDefault="00DB4395" w:rsidP="00DB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DB4395" w:rsidRPr="00EB555F" w:rsidRDefault="00EB555F" w:rsidP="00DB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B4395"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онтрольно-счетной палаты </w:t>
      </w:r>
    </w:p>
    <w:p w:rsidR="00DB4395" w:rsidRPr="00EB555F" w:rsidRDefault="00EB555F" w:rsidP="00DB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B4395"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образования </w:t>
      </w:r>
    </w:p>
    <w:p w:rsidR="00DB4395" w:rsidRPr="00EB555F" w:rsidRDefault="00DB4395" w:rsidP="00DB439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Славянский район</w:t>
      </w: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5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Т.И. Курилова</w:t>
      </w:r>
    </w:p>
    <w:sectPr w:rsidR="00DB4395" w:rsidRPr="00EB555F" w:rsidSect="00074047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56" w:rsidRDefault="005B0F56" w:rsidP="00A073C8">
      <w:pPr>
        <w:spacing w:after="0" w:line="240" w:lineRule="auto"/>
      </w:pPr>
      <w:r>
        <w:separator/>
      </w:r>
    </w:p>
  </w:endnote>
  <w:endnote w:type="continuationSeparator" w:id="0">
    <w:p w:rsidR="005B0F56" w:rsidRDefault="005B0F56" w:rsidP="00A0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56" w:rsidRDefault="005B0F56" w:rsidP="00A073C8">
      <w:pPr>
        <w:spacing w:after="0" w:line="240" w:lineRule="auto"/>
      </w:pPr>
      <w:r>
        <w:separator/>
      </w:r>
    </w:p>
  </w:footnote>
  <w:footnote w:type="continuationSeparator" w:id="0">
    <w:p w:rsidR="005B0F56" w:rsidRDefault="005B0F56" w:rsidP="00A0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574"/>
    </w:sdtPr>
    <w:sdtEndPr/>
    <w:sdtContent>
      <w:p w:rsidR="00753183" w:rsidRDefault="00D3119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183" w:rsidRDefault="007531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D2D"/>
    <w:multiLevelType w:val="hybridMultilevel"/>
    <w:tmpl w:val="5CC09EF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E0C33"/>
    <w:multiLevelType w:val="hybridMultilevel"/>
    <w:tmpl w:val="4860D9E2"/>
    <w:lvl w:ilvl="0" w:tplc="D3FC24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2157"/>
    <w:multiLevelType w:val="hybridMultilevel"/>
    <w:tmpl w:val="20DAB0E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E4C7A"/>
    <w:multiLevelType w:val="hybridMultilevel"/>
    <w:tmpl w:val="361E7D2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914FF"/>
    <w:multiLevelType w:val="hybridMultilevel"/>
    <w:tmpl w:val="775C8802"/>
    <w:lvl w:ilvl="0" w:tplc="346C8F3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D74"/>
    <w:multiLevelType w:val="hybridMultilevel"/>
    <w:tmpl w:val="E6E8FA04"/>
    <w:lvl w:ilvl="0" w:tplc="4CE6A8F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06513"/>
    <w:multiLevelType w:val="hybridMultilevel"/>
    <w:tmpl w:val="B26EC9E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E02DF"/>
    <w:multiLevelType w:val="hybridMultilevel"/>
    <w:tmpl w:val="8B269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15F"/>
    <w:rsid w:val="0000389C"/>
    <w:rsid w:val="00006ABC"/>
    <w:rsid w:val="000073C5"/>
    <w:rsid w:val="00011F69"/>
    <w:rsid w:val="00014CEA"/>
    <w:rsid w:val="00022539"/>
    <w:rsid w:val="00025EFF"/>
    <w:rsid w:val="000311AA"/>
    <w:rsid w:val="000357C5"/>
    <w:rsid w:val="000360BD"/>
    <w:rsid w:val="000423B1"/>
    <w:rsid w:val="0004324C"/>
    <w:rsid w:val="00046838"/>
    <w:rsid w:val="00064F0A"/>
    <w:rsid w:val="0007210E"/>
    <w:rsid w:val="00074047"/>
    <w:rsid w:val="00075934"/>
    <w:rsid w:val="000914DA"/>
    <w:rsid w:val="000A505F"/>
    <w:rsid w:val="000B31ED"/>
    <w:rsid w:val="000C034F"/>
    <w:rsid w:val="000C08C5"/>
    <w:rsid w:val="000C466D"/>
    <w:rsid w:val="000D0765"/>
    <w:rsid w:val="000D12F6"/>
    <w:rsid w:val="000D1E7C"/>
    <w:rsid w:val="000D5CE8"/>
    <w:rsid w:val="000E4D92"/>
    <w:rsid w:val="000E6782"/>
    <w:rsid w:val="000F027E"/>
    <w:rsid w:val="000F1DBF"/>
    <w:rsid w:val="000F3FFD"/>
    <w:rsid w:val="000F547C"/>
    <w:rsid w:val="001039DF"/>
    <w:rsid w:val="0011227E"/>
    <w:rsid w:val="00120DDF"/>
    <w:rsid w:val="00131C44"/>
    <w:rsid w:val="00131F85"/>
    <w:rsid w:val="00140D54"/>
    <w:rsid w:val="001416EC"/>
    <w:rsid w:val="001421D1"/>
    <w:rsid w:val="00144788"/>
    <w:rsid w:val="001447A7"/>
    <w:rsid w:val="001466AD"/>
    <w:rsid w:val="00147A9B"/>
    <w:rsid w:val="00153A7F"/>
    <w:rsid w:val="00153DDF"/>
    <w:rsid w:val="00154AD8"/>
    <w:rsid w:val="00156C9E"/>
    <w:rsid w:val="001766D2"/>
    <w:rsid w:val="00186B7C"/>
    <w:rsid w:val="00191A9F"/>
    <w:rsid w:val="001924F4"/>
    <w:rsid w:val="001A15F3"/>
    <w:rsid w:val="001A5F07"/>
    <w:rsid w:val="001B00DC"/>
    <w:rsid w:val="001B2DF6"/>
    <w:rsid w:val="001C36C8"/>
    <w:rsid w:val="001C39C8"/>
    <w:rsid w:val="001C43BB"/>
    <w:rsid w:val="001D2D63"/>
    <w:rsid w:val="001D6C0F"/>
    <w:rsid w:val="001D78CF"/>
    <w:rsid w:val="001E0FE8"/>
    <w:rsid w:val="001F0016"/>
    <w:rsid w:val="001F27CA"/>
    <w:rsid w:val="001F6FAF"/>
    <w:rsid w:val="0020690D"/>
    <w:rsid w:val="0021130A"/>
    <w:rsid w:val="002116F0"/>
    <w:rsid w:val="002147EC"/>
    <w:rsid w:val="00214CF7"/>
    <w:rsid w:val="00220B7C"/>
    <w:rsid w:val="00222026"/>
    <w:rsid w:val="00223E85"/>
    <w:rsid w:val="00230E26"/>
    <w:rsid w:val="00231E4A"/>
    <w:rsid w:val="00240718"/>
    <w:rsid w:val="002450F3"/>
    <w:rsid w:val="002452E3"/>
    <w:rsid w:val="00245E7D"/>
    <w:rsid w:val="00246F4A"/>
    <w:rsid w:val="00251FB8"/>
    <w:rsid w:val="00257142"/>
    <w:rsid w:val="00261467"/>
    <w:rsid w:val="00264339"/>
    <w:rsid w:val="00271874"/>
    <w:rsid w:val="00274A22"/>
    <w:rsid w:val="00275CA1"/>
    <w:rsid w:val="00280282"/>
    <w:rsid w:val="002A3F4D"/>
    <w:rsid w:val="002A7351"/>
    <w:rsid w:val="002C358D"/>
    <w:rsid w:val="002C37CB"/>
    <w:rsid w:val="002C6ADC"/>
    <w:rsid w:val="002D0C1A"/>
    <w:rsid w:val="002D3B06"/>
    <w:rsid w:val="002D6520"/>
    <w:rsid w:val="002E532A"/>
    <w:rsid w:val="002E7876"/>
    <w:rsid w:val="002F0D3D"/>
    <w:rsid w:val="00303D84"/>
    <w:rsid w:val="00320767"/>
    <w:rsid w:val="003379D8"/>
    <w:rsid w:val="00346C30"/>
    <w:rsid w:val="003518C6"/>
    <w:rsid w:val="00357079"/>
    <w:rsid w:val="003642BE"/>
    <w:rsid w:val="00367C47"/>
    <w:rsid w:val="00372FF4"/>
    <w:rsid w:val="00373BC4"/>
    <w:rsid w:val="00373F92"/>
    <w:rsid w:val="003A276B"/>
    <w:rsid w:val="003A6A1E"/>
    <w:rsid w:val="003B05D8"/>
    <w:rsid w:val="003B3BDC"/>
    <w:rsid w:val="003B3FEF"/>
    <w:rsid w:val="003C1948"/>
    <w:rsid w:val="003C29FA"/>
    <w:rsid w:val="003E1F9F"/>
    <w:rsid w:val="003F089C"/>
    <w:rsid w:val="003F19D4"/>
    <w:rsid w:val="003F2034"/>
    <w:rsid w:val="003F45EE"/>
    <w:rsid w:val="004058A9"/>
    <w:rsid w:val="0041417E"/>
    <w:rsid w:val="00416082"/>
    <w:rsid w:val="004179D8"/>
    <w:rsid w:val="00425276"/>
    <w:rsid w:val="00425702"/>
    <w:rsid w:val="004309A4"/>
    <w:rsid w:val="00432191"/>
    <w:rsid w:val="004333BB"/>
    <w:rsid w:val="00444414"/>
    <w:rsid w:val="0045435E"/>
    <w:rsid w:val="00460E6A"/>
    <w:rsid w:val="00463BB6"/>
    <w:rsid w:val="004700EF"/>
    <w:rsid w:val="00470D05"/>
    <w:rsid w:val="00472557"/>
    <w:rsid w:val="00473EB3"/>
    <w:rsid w:val="004A095D"/>
    <w:rsid w:val="004A0C72"/>
    <w:rsid w:val="004A1838"/>
    <w:rsid w:val="004A72D4"/>
    <w:rsid w:val="004B5D6F"/>
    <w:rsid w:val="004C13EA"/>
    <w:rsid w:val="004C274F"/>
    <w:rsid w:val="004C39EE"/>
    <w:rsid w:val="004D099A"/>
    <w:rsid w:val="004D1377"/>
    <w:rsid w:val="004D255B"/>
    <w:rsid w:val="004D4810"/>
    <w:rsid w:val="004E0BCE"/>
    <w:rsid w:val="004E2DFF"/>
    <w:rsid w:val="004E4CE7"/>
    <w:rsid w:val="004F2C30"/>
    <w:rsid w:val="0051400E"/>
    <w:rsid w:val="00514767"/>
    <w:rsid w:val="005247AE"/>
    <w:rsid w:val="00525043"/>
    <w:rsid w:val="00532691"/>
    <w:rsid w:val="00532BC0"/>
    <w:rsid w:val="00533461"/>
    <w:rsid w:val="005375F7"/>
    <w:rsid w:val="00547981"/>
    <w:rsid w:val="00547982"/>
    <w:rsid w:val="00552179"/>
    <w:rsid w:val="00554B60"/>
    <w:rsid w:val="00575696"/>
    <w:rsid w:val="00577A02"/>
    <w:rsid w:val="0058179D"/>
    <w:rsid w:val="00586E5A"/>
    <w:rsid w:val="00594BE9"/>
    <w:rsid w:val="005A7076"/>
    <w:rsid w:val="005B0F56"/>
    <w:rsid w:val="005B1262"/>
    <w:rsid w:val="005B1A54"/>
    <w:rsid w:val="005C129D"/>
    <w:rsid w:val="005F10B0"/>
    <w:rsid w:val="005F1CD0"/>
    <w:rsid w:val="005F3F5A"/>
    <w:rsid w:val="005F7FA9"/>
    <w:rsid w:val="00601578"/>
    <w:rsid w:val="00603F35"/>
    <w:rsid w:val="006160A3"/>
    <w:rsid w:val="006163C0"/>
    <w:rsid w:val="00616DA6"/>
    <w:rsid w:val="006227A0"/>
    <w:rsid w:val="0062450B"/>
    <w:rsid w:val="006408D0"/>
    <w:rsid w:val="00644A0C"/>
    <w:rsid w:val="00646EC1"/>
    <w:rsid w:val="006509C0"/>
    <w:rsid w:val="00654B1C"/>
    <w:rsid w:val="00657EAE"/>
    <w:rsid w:val="00661E0C"/>
    <w:rsid w:val="006631F8"/>
    <w:rsid w:val="00663597"/>
    <w:rsid w:val="00665B1E"/>
    <w:rsid w:val="006676B5"/>
    <w:rsid w:val="006706E1"/>
    <w:rsid w:val="006749FE"/>
    <w:rsid w:val="00677618"/>
    <w:rsid w:val="0068475B"/>
    <w:rsid w:val="00694409"/>
    <w:rsid w:val="006A1839"/>
    <w:rsid w:val="006A374C"/>
    <w:rsid w:val="006A4266"/>
    <w:rsid w:val="006C483A"/>
    <w:rsid w:val="006C58F1"/>
    <w:rsid w:val="006C67F4"/>
    <w:rsid w:val="006D667A"/>
    <w:rsid w:val="006D7452"/>
    <w:rsid w:val="006E3023"/>
    <w:rsid w:val="006E37FB"/>
    <w:rsid w:val="006E47B8"/>
    <w:rsid w:val="00700563"/>
    <w:rsid w:val="007019BF"/>
    <w:rsid w:val="00707853"/>
    <w:rsid w:val="007129B9"/>
    <w:rsid w:val="00713022"/>
    <w:rsid w:val="00713D7F"/>
    <w:rsid w:val="007159E7"/>
    <w:rsid w:val="007167B3"/>
    <w:rsid w:val="00726BE8"/>
    <w:rsid w:val="00732CFA"/>
    <w:rsid w:val="007337FB"/>
    <w:rsid w:val="00752A7D"/>
    <w:rsid w:val="00753183"/>
    <w:rsid w:val="0075753A"/>
    <w:rsid w:val="00760204"/>
    <w:rsid w:val="007618BB"/>
    <w:rsid w:val="00763D62"/>
    <w:rsid w:val="00764F70"/>
    <w:rsid w:val="00770E34"/>
    <w:rsid w:val="007736BA"/>
    <w:rsid w:val="00785A3D"/>
    <w:rsid w:val="007862E1"/>
    <w:rsid w:val="007901C6"/>
    <w:rsid w:val="0079244F"/>
    <w:rsid w:val="0079774C"/>
    <w:rsid w:val="007A0306"/>
    <w:rsid w:val="007A77E7"/>
    <w:rsid w:val="007B1A6C"/>
    <w:rsid w:val="007B21F6"/>
    <w:rsid w:val="007B5DB3"/>
    <w:rsid w:val="007B7EF6"/>
    <w:rsid w:val="007C1561"/>
    <w:rsid w:val="007C436E"/>
    <w:rsid w:val="007C46B3"/>
    <w:rsid w:val="007D0DEB"/>
    <w:rsid w:val="007D1059"/>
    <w:rsid w:val="007D10C0"/>
    <w:rsid w:val="007D4E54"/>
    <w:rsid w:val="007D7AFA"/>
    <w:rsid w:val="007E7254"/>
    <w:rsid w:val="007F3EA6"/>
    <w:rsid w:val="00801A4E"/>
    <w:rsid w:val="00802346"/>
    <w:rsid w:val="00802C42"/>
    <w:rsid w:val="008032EB"/>
    <w:rsid w:val="00815093"/>
    <w:rsid w:val="00815B7D"/>
    <w:rsid w:val="00834E4A"/>
    <w:rsid w:val="00836DBF"/>
    <w:rsid w:val="00837DCD"/>
    <w:rsid w:val="00855199"/>
    <w:rsid w:val="00856126"/>
    <w:rsid w:val="00862331"/>
    <w:rsid w:val="00865C7B"/>
    <w:rsid w:val="00871648"/>
    <w:rsid w:val="008776C7"/>
    <w:rsid w:val="0088062B"/>
    <w:rsid w:val="00880E83"/>
    <w:rsid w:val="00883A4B"/>
    <w:rsid w:val="008908D8"/>
    <w:rsid w:val="00890B50"/>
    <w:rsid w:val="0089336C"/>
    <w:rsid w:val="00896238"/>
    <w:rsid w:val="008A4B78"/>
    <w:rsid w:val="008A50AE"/>
    <w:rsid w:val="008A74BC"/>
    <w:rsid w:val="008B089D"/>
    <w:rsid w:val="008C0DEA"/>
    <w:rsid w:val="008C33A3"/>
    <w:rsid w:val="008C74DB"/>
    <w:rsid w:val="008C7925"/>
    <w:rsid w:val="008D5004"/>
    <w:rsid w:val="008F2FA2"/>
    <w:rsid w:val="008F36A5"/>
    <w:rsid w:val="009014B8"/>
    <w:rsid w:val="009031D2"/>
    <w:rsid w:val="0091309A"/>
    <w:rsid w:val="0091390D"/>
    <w:rsid w:val="009272D1"/>
    <w:rsid w:val="009275B9"/>
    <w:rsid w:val="00931FC3"/>
    <w:rsid w:val="009362C4"/>
    <w:rsid w:val="00937690"/>
    <w:rsid w:val="00944A2F"/>
    <w:rsid w:val="00945B05"/>
    <w:rsid w:val="00955D08"/>
    <w:rsid w:val="009566D4"/>
    <w:rsid w:val="00960403"/>
    <w:rsid w:val="00961322"/>
    <w:rsid w:val="00970AF1"/>
    <w:rsid w:val="00972117"/>
    <w:rsid w:val="00974F8C"/>
    <w:rsid w:val="00977567"/>
    <w:rsid w:val="00980BDE"/>
    <w:rsid w:val="0098601B"/>
    <w:rsid w:val="00995428"/>
    <w:rsid w:val="009A7074"/>
    <w:rsid w:val="009A7BB1"/>
    <w:rsid w:val="009B6082"/>
    <w:rsid w:val="009C00F8"/>
    <w:rsid w:val="009C1081"/>
    <w:rsid w:val="009C26FA"/>
    <w:rsid w:val="009D0ABE"/>
    <w:rsid w:val="009E5870"/>
    <w:rsid w:val="009E6A36"/>
    <w:rsid w:val="009F320D"/>
    <w:rsid w:val="009F47B5"/>
    <w:rsid w:val="009F7389"/>
    <w:rsid w:val="00A03DCE"/>
    <w:rsid w:val="00A073C8"/>
    <w:rsid w:val="00A073EF"/>
    <w:rsid w:val="00A1170A"/>
    <w:rsid w:val="00A11802"/>
    <w:rsid w:val="00A2121F"/>
    <w:rsid w:val="00A2540F"/>
    <w:rsid w:val="00A31FE4"/>
    <w:rsid w:val="00A350B2"/>
    <w:rsid w:val="00A35A9A"/>
    <w:rsid w:val="00A37F76"/>
    <w:rsid w:val="00A40412"/>
    <w:rsid w:val="00A404E6"/>
    <w:rsid w:val="00A40CAA"/>
    <w:rsid w:val="00A44171"/>
    <w:rsid w:val="00A44C87"/>
    <w:rsid w:val="00A450CC"/>
    <w:rsid w:val="00A47541"/>
    <w:rsid w:val="00A54B7F"/>
    <w:rsid w:val="00A6115F"/>
    <w:rsid w:val="00A6327F"/>
    <w:rsid w:val="00A74D8B"/>
    <w:rsid w:val="00A75DDD"/>
    <w:rsid w:val="00A76684"/>
    <w:rsid w:val="00A81A61"/>
    <w:rsid w:val="00A85143"/>
    <w:rsid w:val="00A856EA"/>
    <w:rsid w:val="00A96ABD"/>
    <w:rsid w:val="00AA3529"/>
    <w:rsid w:val="00AA716E"/>
    <w:rsid w:val="00AA7868"/>
    <w:rsid w:val="00AB3FAE"/>
    <w:rsid w:val="00AC5DB4"/>
    <w:rsid w:val="00AD07B3"/>
    <w:rsid w:val="00AD40B7"/>
    <w:rsid w:val="00AE295E"/>
    <w:rsid w:val="00AE314D"/>
    <w:rsid w:val="00AE687C"/>
    <w:rsid w:val="00AE7911"/>
    <w:rsid w:val="00AF0777"/>
    <w:rsid w:val="00AF351E"/>
    <w:rsid w:val="00B015CE"/>
    <w:rsid w:val="00B208EF"/>
    <w:rsid w:val="00B242B4"/>
    <w:rsid w:val="00B309F1"/>
    <w:rsid w:val="00B36B38"/>
    <w:rsid w:val="00B37296"/>
    <w:rsid w:val="00B40949"/>
    <w:rsid w:val="00B40BE9"/>
    <w:rsid w:val="00B42792"/>
    <w:rsid w:val="00B440D8"/>
    <w:rsid w:val="00B47EF3"/>
    <w:rsid w:val="00B641FD"/>
    <w:rsid w:val="00B64CE8"/>
    <w:rsid w:val="00B65805"/>
    <w:rsid w:val="00B6785F"/>
    <w:rsid w:val="00B775A2"/>
    <w:rsid w:val="00B804BF"/>
    <w:rsid w:val="00B92D62"/>
    <w:rsid w:val="00BA0888"/>
    <w:rsid w:val="00BA67FC"/>
    <w:rsid w:val="00BA6980"/>
    <w:rsid w:val="00BA7A9C"/>
    <w:rsid w:val="00BB2371"/>
    <w:rsid w:val="00BB4EAB"/>
    <w:rsid w:val="00BC069B"/>
    <w:rsid w:val="00BC265F"/>
    <w:rsid w:val="00BC3043"/>
    <w:rsid w:val="00BC4E66"/>
    <w:rsid w:val="00BC6A47"/>
    <w:rsid w:val="00BC7D92"/>
    <w:rsid w:val="00BD1E25"/>
    <w:rsid w:val="00BD31AC"/>
    <w:rsid w:val="00BE03D8"/>
    <w:rsid w:val="00BE38B6"/>
    <w:rsid w:val="00BE74F6"/>
    <w:rsid w:val="00BE7AD5"/>
    <w:rsid w:val="00BF5495"/>
    <w:rsid w:val="00BF5584"/>
    <w:rsid w:val="00C04CCE"/>
    <w:rsid w:val="00C07A17"/>
    <w:rsid w:val="00C20214"/>
    <w:rsid w:val="00C20273"/>
    <w:rsid w:val="00C26FE0"/>
    <w:rsid w:val="00C328A8"/>
    <w:rsid w:val="00C33B0A"/>
    <w:rsid w:val="00C36904"/>
    <w:rsid w:val="00C4565C"/>
    <w:rsid w:val="00C459DE"/>
    <w:rsid w:val="00C4771E"/>
    <w:rsid w:val="00C51055"/>
    <w:rsid w:val="00C51ED8"/>
    <w:rsid w:val="00C54E28"/>
    <w:rsid w:val="00C56BB6"/>
    <w:rsid w:val="00C62AC9"/>
    <w:rsid w:val="00C65967"/>
    <w:rsid w:val="00C65CAE"/>
    <w:rsid w:val="00C66245"/>
    <w:rsid w:val="00C70317"/>
    <w:rsid w:val="00C7535B"/>
    <w:rsid w:val="00C80815"/>
    <w:rsid w:val="00C80D8D"/>
    <w:rsid w:val="00C84C03"/>
    <w:rsid w:val="00C873F6"/>
    <w:rsid w:val="00CA0FD3"/>
    <w:rsid w:val="00CB2694"/>
    <w:rsid w:val="00CB292C"/>
    <w:rsid w:val="00CB68A6"/>
    <w:rsid w:val="00CC04D0"/>
    <w:rsid w:val="00CD1612"/>
    <w:rsid w:val="00CD1C2B"/>
    <w:rsid w:val="00CD42CB"/>
    <w:rsid w:val="00CE1334"/>
    <w:rsid w:val="00CE3217"/>
    <w:rsid w:val="00CE3335"/>
    <w:rsid w:val="00CE6EF2"/>
    <w:rsid w:val="00CF2B7E"/>
    <w:rsid w:val="00CF63C8"/>
    <w:rsid w:val="00CF77C8"/>
    <w:rsid w:val="00D10FDB"/>
    <w:rsid w:val="00D146EC"/>
    <w:rsid w:val="00D26718"/>
    <w:rsid w:val="00D31194"/>
    <w:rsid w:val="00D33556"/>
    <w:rsid w:val="00D51161"/>
    <w:rsid w:val="00D54846"/>
    <w:rsid w:val="00D5645D"/>
    <w:rsid w:val="00D56DFC"/>
    <w:rsid w:val="00D57BDC"/>
    <w:rsid w:val="00D63E4A"/>
    <w:rsid w:val="00D70E8F"/>
    <w:rsid w:val="00D720A3"/>
    <w:rsid w:val="00D76E4E"/>
    <w:rsid w:val="00D818E6"/>
    <w:rsid w:val="00D904E7"/>
    <w:rsid w:val="00DA76BA"/>
    <w:rsid w:val="00DB4395"/>
    <w:rsid w:val="00DB6373"/>
    <w:rsid w:val="00DB6B2D"/>
    <w:rsid w:val="00DB74BD"/>
    <w:rsid w:val="00DB74FE"/>
    <w:rsid w:val="00DC406A"/>
    <w:rsid w:val="00DC5CEA"/>
    <w:rsid w:val="00DC6637"/>
    <w:rsid w:val="00DD06CB"/>
    <w:rsid w:val="00DD1914"/>
    <w:rsid w:val="00DE4C45"/>
    <w:rsid w:val="00DE68B5"/>
    <w:rsid w:val="00DF2E9C"/>
    <w:rsid w:val="00DF3C96"/>
    <w:rsid w:val="00DF6E83"/>
    <w:rsid w:val="00E0323C"/>
    <w:rsid w:val="00E05EFF"/>
    <w:rsid w:val="00E06762"/>
    <w:rsid w:val="00E07616"/>
    <w:rsid w:val="00E140A2"/>
    <w:rsid w:val="00E14182"/>
    <w:rsid w:val="00E142B8"/>
    <w:rsid w:val="00E20114"/>
    <w:rsid w:val="00E27A3A"/>
    <w:rsid w:val="00E419C9"/>
    <w:rsid w:val="00E56EB3"/>
    <w:rsid w:val="00E62D74"/>
    <w:rsid w:val="00E815C5"/>
    <w:rsid w:val="00E86F1E"/>
    <w:rsid w:val="00EA0BEA"/>
    <w:rsid w:val="00EB49B1"/>
    <w:rsid w:val="00EB555F"/>
    <w:rsid w:val="00EC5BD6"/>
    <w:rsid w:val="00EC7143"/>
    <w:rsid w:val="00ED0F6D"/>
    <w:rsid w:val="00ED717D"/>
    <w:rsid w:val="00ED7ADF"/>
    <w:rsid w:val="00EE0E6D"/>
    <w:rsid w:val="00EE273C"/>
    <w:rsid w:val="00EE5278"/>
    <w:rsid w:val="00EE52C3"/>
    <w:rsid w:val="00EE53B7"/>
    <w:rsid w:val="00EF1E2C"/>
    <w:rsid w:val="00F04456"/>
    <w:rsid w:val="00F05EBC"/>
    <w:rsid w:val="00F062AB"/>
    <w:rsid w:val="00F07DA7"/>
    <w:rsid w:val="00F103D9"/>
    <w:rsid w:val="00F1251F"/>
    <w:rsid w:val="00F15819"/>
    <w:rsid w:val="00F20A06"/>
    <w:rsid w:val="00F20A9E"/>
    <w:rsid w:val="00F2146E"/>
    <w:rsid w:val="00F25544"/>
    <w:rsid w:val="00F31150"/>
    <w:rsid w:val="00F407F9"/>
    <w:rsid w:val="00F4610A"/>
    <w:rsid w:val="00F51310"/>
    <w:rsid w:val="00F52FBF"/>
    <w:rsid w:val="00F5410F"/>
    <w:rsid w:val="00F54C54"/>
    <w:rsid w:val="00F5731E"/>
    <w:rsid w:val="00F70876"/>
    <w:rsid w:val="00F76305"/>
    <w:rsid w:val="00F76E29"/>
    <w:rsid w:val="00F82241"/>
    <w:rsid w:val="00F91857"/>
    <w:rsid w:val="00FA2CE0"/>
    <w:rsid w:val="00FA68B1"/>
    <w:rsid w:val="00FB0E49"/>
    <w:rsid w:val="00FB5153"/>
    <w:rsid w:val="00FC4C4F"/>
    <w:rsid w:val="00FC5FE8"/>
    <w:rsid w:val="00FD078F"/>
    <w:rsid w:val="00FD173A"/>
    <w:rsid w:val="00FD1BE6"/>
    <w:rsid w:val="00FD3884"/>
    <w:rsid w:val="00FD39BF"/>
    <w:rsid w:val="00FD5843"/>
    <w:rsid w:val="00FE085D"/>
    <w:rsid w:val="00FE4341"/>
    <w:rsid w:val="00FE51FA"/>
    <w:rsid w:val="00FE6AFB"/>
    <w:rsid w:val="00FE707B"/>
    <w:rsid w:val="00FE7FA5"/>
    <w:rsid w:val="00FF1964"/>
    <w:rsid w:val="00FF3D25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8326"/>
  <w15:docId w15:val="{1F4F0E63-D403-4BF7-BCD7-B44E0604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611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6115F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CB29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292C"/>
  </w:style>
  <w:style w:type="paragraph" w:styleId="a5">
    <w:name w:val="List Paragraph"/>
    <w:basedOn w:val="a"/>
    <w:uiPriority w:val="34"/>
    <w:qFormat/>
    <w:rsid w:val="006509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3C8"/>
  </w:style>
  <w:style w:type="paragraph" w:styleId="a8">
    <w:name w:val="footer"/>
    <w:basedOn w:val="a"/>
    <w:link w:val="a9"/>
    <w:uiPriority w:val="99"/>
    <w:semiHidden/>
    <w:unhideWhenUsed/>
    <w:rsid w:val="00A0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73C8"/>
  </w:style>
  <w:style w:type="character" w:styleId="aa">
    <w:name w:val="Hyperlink"/>
    <w:basedOn w:val="a0"/>
    <w:uiPriority w:val="99"/>
    <w:semiHidden/>
    <w:unhideWhenUsed/>
    <w:rsid w:val="000F547C"/>
    <w:rPr>
      <w:color w:val="0000FF"/>
      <w:u w:val="single"/>
    </w:rPr>
  </w:style>
  <w:style w:type="paragraph" w:customStyle="1" w:styleId="ConsPlusNonformat">
    <w:name w:val="ConsPlusNonformat"/>
    <w:rsid w:val="000F5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974F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4F8C"/>
  </w:style>
  <w:style w:type="paragraph" w:styleId="2">
    <w:name w:val="Body Text 2"/>
    <w:basedOn w:val="a"/>
    <w:link w:val="20"/>
    <w:uiPriority w:val="99"/>
    <w:semiHidden/>
    <w:unhideWhenUsed/>
    <w:rsid w:val="00974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4F8C"/>
  </w:style>
  <w:style w:type="paragraph" w:styleId="ad">
    <w:name w:val="Title"/>
    <w:basedOn w:val="a"/>
    <w:link w:val="ae"/>
    <w:qFormat/>
    <w:rsid w:val="00974F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e">
    <w:name w:val="Заголовок Знак"/>
    <w:basedOn w:val="a0"/>
    <w:link w:val="ad"/>
    <w:rsid w:val="00974F8C"/>
    <w:rPr>
      <w:rFonts w:ascii="Times New Roman" w:eastAsia="Times New Roman" w:hAnsi="Times New Roman" w:cs="Times New Roman"/>
      <w:b/>
      <w:sz w:val="48"/>
      <w:szCs w:val="20"/>
    </w:rPr>
  </w:style>
  <w:style w:type="paragraph" w:styleId="af">
    <w:name w:val="Normal (Web)"/>
    <w:basedOn w:val="a"/>
    <w:semiHidden/>
    <w:unhideWhenUsed/>
    <w:rsid w:val="00E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ED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164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328A8"/>
    <w:rPr>
      <w:rFonts w:ascii="Times New Roman" w:hAnsi="Times New Roman" w:cs="Times New Roman" w:hint="default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2475-9D87-49A7-A6FC-50958EC8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7548</Words>
  <Characters>43029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Руслан Швед</cp:lastModifiedBy>
  <cp:revision>12</cp:revision>
  <cp:lastPrinted>2017-11-22T09:27:00Z</cp:lastPrinted>
  <dcterms:created xsi:type="dcterms:W3CDTF">2018-11-12T13:26:00Z</dcterms:created>
  <dcterms:modified xsi:type="dcterms:W3CDTF">2019-02-26T11:00:00Z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449247755</vt:i4>
  </property>
</Properties>
</file>