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85F" w:rsidRDefault="0027485F" w:rsidP="002748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Проверка  законности и результативности использования бюджетных средств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направленных в 2013-2014 годах на финансово-хозяйственную деятельность МКУК «Городской дом культуры» Славянского городского поселения</w:t>
      </w:r>
    </w:p>
    <w:p w:rsidR="0027485F" w:rsidRDefault="0027485F" w:rsidP="0027485F">
      <w:pPr>
        <w:tabs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 установлено нарушений  на сумму 13436851-13 рублей.</w:t>
      </w:r>
    </w:p>
    <w:p w:rsidR="0027485F" w:rsidRDefault="0027485F" w:rsidP="0027485F">
      <w:pPr>
        <w:tabs>
          <w:tab w:val="left" w:pos="567"/>
        </w:tabs>
        <w:spacing w:after="0" w:line="240" w:lineRule="auto"/>
        <w:ind w:right="-143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>Учетная политика на 2014 год, утверждена приказом директора ГДК от 09.01.2014 года № 21-П «Об утверждении учетной политики на 2014 год», согласно требованиям Федерального закона  от 06.12.2011года 402-ФЗ «О бухгалтерском учете» и ПБУ 1/2008 данная учетная политика должна применяться с 01.01.2015 года, то есть с  1 января, года следующего за годом утверждения.</w:t>
      </w:r>
      <w:proofErr w:type="gramEnd"/>
    </w:p>
    <w:p w:rsidR="0027485F" w:rsidRDefault="0027485F" w:rsidP="0027485F">
      <w:pPr>
        <w:tabs>
          <w:tab w:val="left" w:pos="567"/>
          <w:tab w:val="left" w:pos="5529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статьи 33, раздела 1 Инструкции 157-н </w:t>
      </w:r>
      <w:r>
        <w:rPr>
          <w:rFonts w:ascii="Times New Roman" w:eastAsia="Times New Roman" w:hAnsi="Times New Roman" w:cs="Calibri"/>
          <w:sz w:val="28"/>
          <w:szCs w:val="28"/>
        </w:rPr>
        <w:t xml:space="preserve">«Об утверждении Единого плана счетов бухгалтерского учета для органов государственной 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 и Инструкции по его применению»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 бухгалтерского учета не учтено имущество, переданное в возмездное пользование (в аренду) встроенное помещение площадью 213,42 кв.м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Стоимость имущества, переданного в аренду, в договорах аренды не указана, что привело к искажению отчетных данных по стр. 250 «Имущество, переданное в возмездное пользование (аренду)», ф-0503130 «Баланс»  раздела «Справка  о наличии имущества и обязательств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забалансовых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счетах».</w:t>
      </w:r>
    </w:p>
    <w:p w:rsidR="0027485F" w:rsidRDefault="0027485F" w:rsidP="0027485F">
      <w:pPr>
        <w:tabs>
          <w:tab w:val="left" w:pos="709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нарушение статьи 71 раздела 1 Инструкции 157-н </w:t>
      </w:r>
      <w:r>
        <w:rPr>
          <w:rFonts w:ascii="Times New Roman" w:eastAsia="Times New Roman" w:hAnsi="Times New Roman" w:cs="Calibri"/>
          <w:sz w:val="28"/>
          <w:szCs w:val="28"/>
        </w:rPr>
        <w:t xml:space="preserve">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 академий наук, государственных (муниципальных) учреждений  и Инструкции по его применению»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по счету 103.00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Непроизведенные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активы» не учтен земельный участок, на котором расположено здание ГДК, полученный в бессрочное пользование по кадастровой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стоимости 9610012-55 рублей, что привело к неполному отражению сведений по бухгалтерской отчетности  «Баланс» ф-0503130, «Сведения о движении нефинансовых активов» ф-0503168 на 01.01.2015 года.</w:t>
      </w:r>
    </w:p>
    <w:p w:rsidR="0027485F" w:rsidRDefault="0027485F" w:rsidP="0027485F">
      <w:pPr>
        <w:tabs>
          <w:tab w:val="left" w:pos="709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Необоснованные расходы на оплату труда работников Учреждения, на выплаты стимулирующего характера и  начисления в государственные внебюджетные фонды составили  52652-55 в том числе:</w:t>
      </w:r>
    </w:p>
    <w:p w:rsidR="0027485F" w:rsidRDefault="0027485F" w:rsidP="0027485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-выплаты работникам    40439-74 рублей; </w:t>
      </w:r>
    </w:p>
    <w:p w:rsidR="0027485F" w:rsidRDefault="0027485F" w:rsidP="0027485F">
      <w:pPr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-начисления на ФОТ в государственные внебюджетные фонды        12212-81 рублей, что привело к неэффективному использованию бюджетных средств (ст. 34 БК РФ)  и искажению отчетности, предоставляемой в органы государственного налогового контроля и  государственные внебюджетные фонды в части  фонда оплаты труда и размера отчислений.</w:t>
      </w:r>
    </w:p>
    <w:p w:rsidR="0027485F" w:rsidRDefault="0027485F" w:rsidP="0027485F">
      <w:pPr>
        <w:spacing w:after="0" w:line="240" w:lineRule="auto"/>
        <w:ind w:right="-143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 Дебиторская задолженность  в размере 60000-00 рублей в течение длительного периода (с 2012 года) не  погашена, претензионная работа не велась.</w:t>
      </w:r>
    </w:p>
    <w:p w:rsidR="0027485F" w:rsidRDefault="0027485F" w:rsidP="0027485F">
      <w:pPr>
        <w:spacing w:after="0" w:line="240" w:lineRule="auto"/>
        <w:ind w:right="-143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предъявление  претензий к подрядчику за не исполнение обязательств, свидетельствует о не соблюдении основного принципа (результативности и эффективности) использования бюджетных денежных средств, предусмотренный ст. 34 БК РФ. </w:t>
      </w:r>
    </w:p>
    <w:p w:rsidR="0027485F" w:rsidRDefault="0027485F" w:rsidP="0027485F">
      <w:pPr>
        <w:spacing w:after="0" w:line="240" w:lineRule="auto"/>
        <w:ind w:right="-143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 В ходе проверки устранено нарушений на общую сумму 10045165-10 рублей в том числе: </w:t>
      </w:r>
    </w:p>
    <w:p w:rsidR="0027485F" w:rsidRDefault="0027485F" w:rsidP="0027485F">
      <w:pPr>
        <w:spacing w:after="0" w:line="240" w:lineRule="auto"/>
        <w:ind w:right="-141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-Возмещено излишне выплаченная сумма 18053-04 рублей путем внесения в кассу  по приходному ордеру № 45 от 18.08.2015 года;</w:t>
      </w:r>
    </w:p>
    <w:p w:rsidR="0027485F" w:rsidRDefault="0027485F" w:rsidP="0027485F">
      <w:pPr>
        <w:spacing w:after="0" w:line="240" w:lineRule="auto"/>
        <w:ind w:right="-141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-Проставлены инвентарные номера на 5 объектов основных средств общей стоимостью 322500-00 рублей;</w:t>
      </w:r>
    </w:p>
    <w:p w:rsidR="0027485F" w:rsidRDefault="0027485F" w:rsidP="0027485F">
      <w:pPr>
        <w:spacing w:after="0" w:line="240" w:lineRule="auto"/>
        <w:ind w:right="-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-Учтен на соответствующих счетах  бухгалтерского учета  земельный участок  кадастровой стоимостью 9610012-55 рублей.</w:t>
      </w:r>
    </w:p>
    <w:p w:rsidR="0027485F" w:rsidRDefault="0027485F" w:rsidP="0027485F">
      <w:pPr>
        <w:spacing w:after="0" w:line="240" w:lineRule="auto"/>
        <w:ind w:right="-284"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период проведения проверки проведен:</w:t>
      </w:r>
    </w:p>
    <w:p w:rsidR="0027485F" w:rsidRDefault="0027485F" w:rsidP="0027485F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Аудит  в сфере закупок анализ эффективности  и результативности расходов на закупки</w:t>
      </w:r>
    </w:p>
    <w:p w:rsidR="0027485F" w:rsidRDefault="0027485F" w:rsidP="0027485F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времени с 01.01.2013 года по 31.12.2014 года посредством заключенных договоров на  оказание разного рода услуг, приобретения основных средств и товарно-материальных ценностей использовано  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умме 11323312-38 рублей в том числе:</w:t>
      </w:r>
    </w:p>
    <w:p w:rsidR="0027485F" w:rsidRDefault="0027485F" w:rsidP="002748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2013 год-5483021-95 рублей;</w:t>
      </w:r>
    </w:p>
    <w:p w:rsidR="0027485F" w:rsidRDefault="0027485F" w:rsidP="0027485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2014 год-5840290-43 рублей.</w:t>
      </w:r>
    </w:p>
    <w:p w:rsidR="0027485F" w:rsidRDefault="0027485F" w:rsidP="002748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05.04.2013 года  № 44-ФЗ «О контрактной  системе в сфере закупок товаров, работ, услуг для обеспечения государственных и муниципальных  нужд» и на основании п.4 Постановления  администрации Славянского городского поселения Славянского района от 25.12.2013 года № 1264 «О создании муниципального казенного учреждения «Контрактная служба Славянского городского поселения Славянского района» и наделении его полномочиями», функции по размещению заказов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для проведения торгов в форме конкурса, аукциона, в том числе аукциона в электронной форме, без проведения торгов (запрос котировок)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на поставки товаров, выполнения работ, оказания услуг с  01.01.2013 года  осуществляет МКУ «Контрактная служба  Славянского городского поселения Славянского района». </w:t>
      </w:r>
    </w:p>
    <w:p w:rsidR="0027485F" w:rsidRDefault="0027485F" w:rsidP="0027485F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электронной цифровой подписи при обмене  информацией с электронными торговыми площадками  имеет только директор МКУК  ГДК.</w:t>
      </w:r>
    </w:p>
    <w:p w:rsidR="0027485F" w:rsidRDefault="0027485F" w:rsidP="0027485F">
      <w:pPr>
        <w:pStyle w:val="a3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План-график закупок на 2014-2015 год  размещен на официальном сайте в информационно-телекоммуникационной сети «Интернет» в соответствии с  требованиями Федерального закона  от 05.04.2013 года № 44 - ФЗ.</w:t>
      </w:r>
    </w:p>
    <w:p w:rsidR="0027485F" w:rsidRDefault="0027485F" w:rsidP="0027485F">
      <w:pPr>
        <w:spacing w:after="0" w:line="240" w:lineRule="auto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проверяемый период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реестра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регистрации  договоров и контрактов, заключенных МКУК ГДК на приобретение товарно-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материальных ценностей и потребленных  услуг, осуществлялось в основном путем заключения контрактов, договоров с единственным поставщиком. </w:t>
      </w:r>
    </w:p>
    <w:p w:rsidR="0027485F" w:rsidRDefault="0027485F" w:rsidP="0027485F">
      <w:pPr>
        <w:spacing w:after="0" w:line="240" w:lineRule="auto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эффект от заключенных сделок с единственным поставщиком, выборочно проверенных двадцать один контракт на общую сумму 1137900-00 рублей,  составил 28486-87 рублей или  2,5% от суммы контрактов.</w:t>
      </w:r>
    </w:p>
    <w:p w:rsidR="0027485F" w:rsidRDefault="0027485F" w:rsidP="0027485F">
      <w:pPr>
        <w:spacing w:after="0" w:line="240" w:lineRule="auto"/>
        <w:ind w:right="-2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Контракты с единственным поставщиком заключены в объемах, не превышающих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п.4 ст. 93, п.5 ст. 93, п.29 ст. 93 федерального закона  от 05.04.2013 года  № 44-ФЗ «О контрактной  системе в сфере закупок товаров, работ, услуг для обеспечения государственных и муниципальных  нужд» лимитов. Цена контракта, качество и функциональные характеристики являются приоритетным критерием объекта закупки. </w:t>
      </w:r>
    </w:p>
    <w:p w:rsidR="0027485F" w:rsidRDefault="0027485F" w:rsidP="0027485F">
      <w:pPr>
        <w:spacing w:after="0" w:line="240" w:lineRule="auto"/>
        <w:ind w:right="-14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запроса котировок в 2014 году заключены контракты:</w:t>
      </w:r>
    </w:p>
    <w:tbl>
      <w:tblPr>
        <w:tblW w:w="9715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576"/>
        <w:gridCol w:w="1725"/>
        <w:gridCol w:w="1701"/>
        <w:gridCol w:w="1559"/>
        <w:gridCol w:w="1417"/>
        <w:gridCol w:w="1162"/>
      </w:tblGrid>
      <w:tr w:rsidR="0027485F" w:rsidTr="0027485F">
        <w:trPr>
          <w:trHeight w:val="34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ind w:left="48" w:right="-143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ind w:left="4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 контракта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  контракта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Начальная максимальная цена контракта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Сумма контракта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Экономия</w:t>
            </w:r>
          </w:p>
        </w:tc>
      </w:tr>
      <w:tr w:rsidR="0027485F" w:rsidTr="0027485F">
        <w:trPr>
          <w:trHeight w:val="262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14-04/14-02 ДК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Джансугуров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Канц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овары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178958-67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69231-00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109727-67</w:t>
            </w:r>
          </w:p>
        </w:tc>
      </w:tr>
      <w:tr w:rsidR="0027485F" w:rsidTr="0027485F">
        <w:trPr>
          <w:trHeight w:val="350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ind w:left="48"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14-05/19-01 ДК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«Парус»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Принадлежности к компьютерам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268866-61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233530-00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35336-61</w:t>
            </w:r>
          </w:p>
        </w:tc>
      </w:tr>
      <w:tr w:rsidR="0027485F" w:rsidTr="0027485F">
        <w:trPr>
          <w:trHeight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ind w:left="48"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14-05/29-01 ДК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Неделько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Материалы для копировальной и множительной техники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83702-68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82800-00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902-68</w:t>
            </w:r>
          </w:p>
        </w:tc>
      </w:tr>
      <w:tr w:rsidR="0027485F" w:rsidTr="0027485F">
        <w:trPr>
          <w:trHeight w:val="28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F" w:rsidRDefault="0027485F">
            <w:pPr>
              <w:spacing w:after="0" w:line="240" w:lineRule="auto"/>
              <w:ind w:left="48" w:right="-14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531527-96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385561-00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85F" w:rsidRDefault="002748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145966-96</w:t>
            </w:r>
          </w:p>
        </w:tc>
      </w:tr>
    </w:tbl>
    <w:p w:rsidR="0027485F" w:rsidRDefault="0027485F" w:rsidP="0027485F">
      <w:pPr>
        <w:spacing w:after="0" w:line="240" w:lineRule="auto"/>
        <w:ind w:right="-14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 эффективности расходования бюджетных средств по выше перечисленным сделкам позволила  определить, какова экономия  бюджетных средств в абсолютном выражении составляет 145966-96 рублей. Экономия средств определена в процентном отношении по каждому контракту:</w:t>
      </w:r>
    </w:p>
    <w:p w:rsidR="0027485F" w:rsidRDefault="0027485F" w:rsidP="0027485F">
      <w:pPr>
        <w:spacing w:after="0" w:line="240" w:lineRule="auto"/>
        <w:ind w:right="-14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контракту 14-04/14-02 ДК  показатель эффективности составил  61,3%,   то есть  не обоснованная эффективность, которая может быть результатом недобросовестных действий  победителя или существенного завышения  начальной цены;</w:t>
      </w:r>
    </w:p>
    <w:p w:rsidR="0027485F" w:rsidRDefault="0027485F" w:rsidP="0027485F">
      <w:pPr>
        <w:spacing w:after="0" w:line="240" w:lineRule="auto"/>
        <w:ind w:right="-14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контракту 14-05/19-01 ДК показатель эффективности составил    13%, что свидетельствует нормальной эффективностью и не нуждается в особых действиях;</w:t>
      </w:r>
    </w:p>
    <w:p w:rsidR="0027485F" w:rsidRDefault="0027485F" w:rsidP="0027485F">
      <w:pPr>
        <w:spacing w:after="0" w:line="240" w:lineRule="auto"/>
        <w:ind w:right="-143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 контракту 14-05/29-01 ДК  показатель эффективности составил 1%, что свидетельствует о низкой эффективности и требует изучение рынка при  заключении аналогичных контрактов. </w:t>
      </w:r>
    </w:p>
    <w:p w:rsidR="0027485F" w:rsidRDefault="0027485F" w:rsidP="0027485F">
      <w:pPr>
        <w:spacing w:after="0" w:line="240" w:lineRule="auto"/>
        <w:ind w:right="-143"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факту проведенной проверки в адрес Главы городского поселения Славянского района направлено представление с предложениями по устранению допущенных нарушений в использовании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</w:p>
    <w:p w:rsidR="006F2AEB" w:rsidRDefault="006F2AEB"/>
    <w:sectPr w:rsidR="006F2A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485F"/>
    <w:rsid w:val="0027485F"/>
    <w:rsid w:val="006F2AEB"/>
    <w:rsid w:val="00865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48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822E6-C641-49D1-A58A-5F6399637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3</cp:revision>
  <dcterms:created xsi:type="dcterms:W3CDTF">2015-10-05T08:48:00Z</dcterms:created>
  <dcterms:modified xsi:type="dcterms:W3CDTF">2015-10-05T08:54:00Z</dcterms:modified>
</cp:coreProperties>
</file>